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7AC9541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B01AD" w14:textId="40F35544" w:rsidR="007D118E" w:rsidRDefault="0056142B" w:rsidP="008F3F25">
      <w:pPr>
        <w:pStyle w:val="ac"/>
        <w:wordWrap w:val="0"/>
        <w:snapToGrid w:val="0"/>
        <w:spacing w:before="0" w:beforeAutospacing="0" w:after="0" w:afterAutospacing="0" w:line="180" w:lineRule="atLeast"/>
        <w:ind w:left="318" w:hangingChars="100" w:hanging="318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QKD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와 </w:t>
      </w:r>
      <w:r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PQC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장점 활용한 차세대 </w:t>
      </w:r>
      <w:r w:rsidR="006D05E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양자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보안 표준</w:t>
      </w:r>
    </w:p>
    <w:p w14:paraId="3119F4BB" w14:textId="345F28CC" w:rsidR="008F3F25" w:rsidRDefault="008F3F25" w:rsidP="008F3F25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</w:t>
      </w:r>
      <w:r w:rsidR="005F616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보안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D118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국제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표준 개발 추진</w:t>
      </w:r>
    </w:p>
    <w:p w14:paraId="571B869A" w14:textId="31186D50" w:rsidR="00136CF6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047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일산 </w:t>
      </w:r>
      <w:proofErr w:type="spellStart"/>
      <w:r w:rsidR="004047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킨텍스에서</w:t>
      </w:r>
      <w:proofErr w:type="spellEnd"/>
      <w:r w:rsidR="004047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열리는 </w:t>
      </w:r>
      <w:r w:rsidR="008F3F25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ITU-T </w:t>
      </w:r>
      <w:r w:rsidR="008F3F2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정보보호연구반 국제 회의</w:t>
      </w:r>
      <w:r w:rsidR="004047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참가해 표준 개발</w:t>
      </w:r>
    </w:p>
    <w:p w14:paraId="798005A0" w14:textId="23210727" w:rsidR="00B65104" w:rsidRPr="0047253F" w:rsidRDefault="000505EB" w:rsidP="000505EB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6510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보안 강</w:t>
      </w:r>
      <w:r w:rsidR="00C72C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한</w:t>
      </w:r>
      <w:r w:rsidR="00B6510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6510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QKD</w:t>
      </w:r>
      <w:r w:rsidR="00B6510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와 확장성 뛰어난 </w:t>
      </w:r>
      <w:r w:rsidR="00B6510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PQC </w:t>
      </w:r>
      <w:r w:rsidR="00B6510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시너지 통해 통신 전</w:t>
      </w:r>
      <w:r w:rsidR="00C72C0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(全)</w:t>
      </w:r>
      <w:r w:rsidR="00B6510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과정 보호</w:t>
      </w:r>
    </w:p>
    <w:p w14:paraId="5588AB56" w14:textId="266765BD" w:rsidR="00D01149" w:rsidRPr="00ED618C" w:rsidRDefault="00D01149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B6510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SKT, </w:t>
      </w:r>
      <w:proofErr w:type="spellStart"/>
      <w:r w:rsidR="008F3F2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양자암호통신</w:t>
      </w:r>
      <w:proofErr w:type="spellEnd"/>
      <w:r w:rsidR="008F3F25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기술 발전과 산업화 촉진 위해 글로벌 표준 수립 앞장</w:t>
      </w:r>
    </w:p>
    <w:p w14:paraId="23085C35" w14:textId="684BE37F" w:rsidR="007D1631" w:rsidRDefault="00136CF6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proofErr w:type="spellStart"/>
      <w:r w:rsidR="007D118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양자암호통신</w:t>
      </w:r>
      <w:proofErr w:type="spellEnd"/>
      <w:r w:rsidR="007D118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상용화 및 수출에 성공하는 등 세계 시장에서</w:t>
      </w:r>
      <w:r w:rsidR="00B6510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도</w:t>
      </w:r>
      <w:r w:rsidR="007D118E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기술력 인정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9A5121" w:rsidR="00EE19F6" w:rsidRPr="00837184" w:rsidRDefault="008B580C" w:rsidP="0083718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37184" w:rsidRPr="0083718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83718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837184" w:rsidRPr="0083718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/2</w:t>
            </w:r>
            <w:r w:rsidR="007B5F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837184" w:rsidRPr="0083718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7B5F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화</w:t>
            </w:r>
            <w:r w:rsidR="00837184" w:rsidRPr="0083718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1</w:t>
            </w:r>
            <w:r w:rsidR="0083718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837184" w:rsidRPr="0083718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:00부터 사용해 주시기 바랍니다.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4CC78391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591A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83718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2591A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4F0BCA" w14:textId="76F46D6A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29일부터 9월 8일까지 일산 </w:t>
      </w: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킨텍스에서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개최되는 ITU-T* 정보보호연구반(SG17) 하반기 국제회의에서 '양자</w:t>
      </w:r>
      <w:r w:rsidR="00292FB1">
        <w:rPr>
          <w:rFonts w:asciiTheme="majorHAnsi" w:eastAsiaTheme="majorHAnsi" w:hAnsiTheme="majorHAnsi" w:hint="eastAsia"/>
          <w:sz w:val="24"/>
          <w:szCs w:val="24"/>
          <w:lang w:eastAsia="ko-KR"/>
        </w:rPr>
        <w:t>보안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통신(</w:t>
      </w:r>
      <w:r w:rsidR="00157644">
        <w:rPr>
          <w:rFonts w:asciiTheme="majorHAnsi" w:eastAsiaTheme="majorHAnsi" w:hAnsiTheme="majorHAnsi"/>
          <w:sz w:val="24"/>
          <w:szCs w:val="24"/>
          <w:lang w:eastAsia="ko-KR"/>
        </w:rPr>
        <w:t xml:space="preserve">QSC, 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Quantum-safe communication)' 표준 과제에 대한 개발을 진행한다고 28일 밝혔다. </w:t>
      </w:r>
    </w:p>
    <w:p w14:paraId="0C844470" w14:textId="21BA91D9" w:rsidR="00837184" w:rsidRPr="0056142B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i/>
          <w:sz w:val="20"/>
          <w:szCs w:val="24"/>
          <w:lang w:eastAsia="ko-KR"/>
        </w:rPr>
      </w:pPr>
      <w:r w:rsidRPr="00837184">
        <w:rPr>
          <w:rFonts w:asciiTheme="majorHAnsi" w:eastAsiaTheme="majorHAnsi" w:hAnsiTheme="majorHAnsi" w:hint="eastAsia"/>
          <w:i/>
          <w:sz w:val="20"/>
          <w:szCs w:val="24"/>
          <w:lang w:eastAsia="ko-KR"/>
        </w:rPr>
        <w:t>* 국제전기통신연합 전기통신 표준화 부문(ITU-T, International Telecommunication Union - Telecommunication Standardization Sector)</w:t>
      </w:r>
      <w:r w:rsidR="0056142B">
        <w:rPr>
          <w:rFonts w:asciiTheme="majorHAnsi" w:eastAsiaTheme="majorHAnsi" w:hAnsiTheme="majorHAnsi"/>
          <w:i/>
          <w:sz w:val="20"/>
          <w:szCs w:val="24"/>
          <w:lang w:eastAsia="ko-KR"/>
        </w:rPr>
        <w:t xml:space="preserve"> </w:t>
      </w:r>
      <w:r w:rsidR="0056142B" w:rsidRPr="0056142B">
        <w:rPr>
          <w:rFonts w:asciiTheme="majorHAnsi" w:eastAsiaTheme="majorHAnsi" w:hAnsiTheme="majorHAnsi" w:hint="eastAsia"/>
          <w:i/>
          <w:sz w:val="20"/>
          <w:szCs w:val="24"/>
          <w:lang w:eastAsia="ko-KR"/>
        </w:rPr>
        <w:t>국제 기술 표준화를 위한 국제연합(UN) 산하 정보통신기술 전문기구로 통신 분야의 표준을 정하는 단체</w:t>
      </w:r>
    </w:p>
    <w:p w14:paraId="4942407F" w14:textId="7777777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B3489F" w14:textId="4189C096" w:rsid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SKT는 이번 회의에서 지난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상반기 회의에서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신규 제안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성공해 과제로 </w:t>
      </w:r>
      <w:proofErr w:type="gram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채택된  '</w:t>
      </w:r>
      <w:proofErr w:type="gram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</w:t>
      </w:r>
      <w:r w:rsidR="00292FB1">
        <w:rPr>
          <w:rFonts w:asciiTheme="majorHAnsi" w:eastAsiaTheme="majorHAnsi" w:hAnsiTheme="majorHAnsi" w:hint="eastAsia"/>
          <w:sz w:val="24"/>
          <w:szCs w:val="24"/>
          <w:lang w:eastAsia="ko-KR"/>
        </w:rPr>
        <w:t>보안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통신'의 표준 개발 작업에 나선다</w:t>
      </w:r>
      <w:r w:rsidR="00B2574D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0891BA43" w14:textId="7A3D716A" w:rsidR="0040473F" w:rsidRPr="0040473F" w:rsidRDefault="0040473F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10"/>
        <w:jc w:val="both"/>
        <w:rPr>
          <w:rFonts w:asciiTheme="majorHAnsi" w:eastAsiaTheme="majorHAnsi" w:hAnsiTheme="majorHAnsi"/>
          <w:i/>
          <w:sz w:val="21"/>
          <w:szCs w:val="21"/>
          <w:lang w:eastAsia="ko-KR"/>
        </w:rPr>
      </w:pPr>
      <w:r w:rsidRPr="0040473F">
        <w:rPr>
          <w:rFonts w:asciiTheme="majorHAnsi" w:eastAsiaTheme="majorHAnsi" w:hAnsiTheme="majorHAnsi"/>
          <w:i/>
          <w:sz w:val="21"/>
          <w:szCs w:val="21"/>
          <w:lang w:eastAsia="ko-KR"/>
        </w:rPr>
        <w:t xml:space="preserve">※ </w:t>
      </w:r>
      <w:r w:rsidRPr="0040473F">
        <w:rPr>
          <w:rFonts w:asciiTheme="majorHAnsi" w:eastAsiaTheme="majorHAnsi" w:hAnsiTheme="majorHAnsi" w:hint="eastAsia"/>
          <w:i/>
          <w:sz w:val="21"/>
          <w:szCs w:val="21"/>
          <w:lang w:eastAsia="ko-KR"/>
        </w:rPr>
        <w:t xml:space="preserve">표준화 </w:t>
      </w:r>
      <w:proofErr w:type="gramStart"/>
      <w:r w:rsidRPr="0040473F">
        <w:rPr>
          <w:rFonts w:asciiTheme="majorHAnsi" w:eastAsiaTheme="majorHAnsi" w:hAnsiTheme="majorHAnsi" w:hint="eastAsia"/>
          <w:i/>
          <w:sz w:val="21"/>
          <w:szCs w:val="21"/>
          <w:lang w:eastAsia="ko-KR"/>
        </w:rPr>
        <w:t xml:space="preserve">과정 </w:t>
      </w:r>
      <w:r w:rsidRPr="0040473F">
        <w:rPr>
          <w:rFonts w:asciiTheme="majorHAnsi" w:eastAsiaTheme="majorHAnsi" w:hAnsiTheme="majorHAnsi"/>
          <w:i/>
          <w:sz w:val="21"/>
          <w:szCs w:val="21"/>
          <w:lang w:eastAsia="ko-KR"/>
        </w:rPr>
        <w:t>:</w:t>
      </w:r>
      <w:proofErr w:type="gramEnd"/>
      <w:r w:rsidRPr="0040473F">
        <w:rPr>
          <w:rFonts w:asciiTheme="majorHAnsi" w:eastAsiaTheme="majorHAnsi" w:hAnsiTheme="majorHAnsi"/>
          <w:i/>
          <w:sz w:val="21"/>
          <w:szCs w:val="21"/>
          <w:lang w:eastAsia="ko-KR"/>
        </w:rPr>
        <w:t xml:space="preserve"> </w:t>
      </w:r>
      <w:r w:rsidRPr="0040473F">
        <w:rPr>
          <w:rFonts w:asciiTheme="majorHAnsi" w:eastAsiaTheme="majorHAnsi" w:hAnsiTheme="majorHAnsi" w:hint="eastAsia"/>
          <w:i/>
          <w:sz w:val="21"/>
          <w:szCs w:val="21"/>
          <w:lang w:eastAsia="ko-KR"/>
        </w:rPr>
        <w:t xml:space="preserve">신규 제안 </w:t>
      </w:r>
      <w:r w:rsidRPr="0040473F">
        <w:rPr>
          <w:rFonts w:asciiTheme="majorHAnsi" w:eastAsiaTheme="majorHAnsi" w:hAnsiTheme="majorHAnsi"/>
          <w:i/>
          <w:sz w:val="21"/>
          <w:szCs w:val="21"/>
          <w:lang w:eastAsia="ko-KR"/>
        </w:rPr>
        <w:t xml:space="preserve">-&gt; </w:t>
      </w:r>
      <w:r w:rsidRPr="0040473F">
        <w:rPr>
          <w:rFonts w:asciiTheme="majorHAnsi" w:eastAsiaTheme="majorHAnsi" w:hAnsiTheme="majorHAnsi" w:hint="eastAsia"/>
          <w:i/>
          <w:sz w:val="21"/>
          <w:szCs w:val="21"/>
          <w:lang w:eastAsia="ko-KR"/>
        </w:rPr>
        <w:t xml:space="preserve">표준 개발 </w:t>
      </w:r>
      <w:r w:rsidRPr="0040473F">
        <w:rPr>
          <w:rFonts w:asciiTheme="majorHAnsi" w:eastAsiaTheme="majorHAnsi" w:hAnsiTheme="majorHAnsi"/>
          <w:i/>
          <w:sz w:val="21"/>
          <w:szCs w:val="21"/>
          <w:lang w:eastAsia="ko-KR"/>
        </w:rPr>
        <w:t xml:space="preserve">-&gt; </w:t>
      </w:r>
      <w:r w:rsidRPr="0040473F">
        <w:rPr>
          <w:rFonts w:asciiTheme="majorHAnsi" w:eastAsiaTheme="majorHAnsi" w:hAnsiTheme="majorHAnsi" w:hint="eastAsia"/>
          <w:i/>
          <w:sz w:val="21"/>
          <w:szCs w:val="21"/>
          <w:lang w:eastAsia="ko-KR"/>
        </w:rPr>
        <w:t xml:space="preserve">사전 채택 </w:t>
      </w:r>
      <w:r w:rsidRPr="0040473F">
        <w:rPr>
          <w:rFonts w:asciiTheme="majorHAnsi" w:eastAsiaTheme="majorHAnsi" w:hAnsiTheme="majorHAnsi"/>
          <w:i/>
          <w:sz w:val="21"/>
          <w:szCs w:val="21"/>
          <w:lang w:eastAsia="ko-KR"/>
        </w:rPr>
        <w:t xml:space="preserve">-&gt; </w:t>
      </w:r>
      <w:r w:rsidRPr="0040473F">
        <w:rPr>
          <w:rFonts w:asciiTheme="majorHAnsi" w:eastAsiaTheme="majorHAnsi" w:hAnsiTheme="majorHAnsi" w:hint="eastAsia"/>
          <w:i/>
          <w:sz w:val="21"/>
          <w:szCs w:val="21"/>
          <w:lang w:eastAsia="ko-KR"/>
        </w:rPr>
        <w:t xml:space="preserve">국제회원국 회람 </w:t>
      </w:r>
      <w:r w:rsidRPr="0040473F">
        <w:rPr>
          <w:rFonts w:asciiTheme="majorHAnsi" w:eastAsiaTheme="majorHAnsi" w:hAnsiTheme="majorHAnsi"/>
          <w:i/>
          <w:sz w:val="21"/>
          <w:szCs w:val="21"/>
          <w:lang w:eastAsia="ko-KR"/>
        </w:rPr>
        <w:t xml:space="preserve">-&gt; </w:t>
      </w:r>
      <w:r w:rsidRPr="0040473F">
        <w:rPr>
          <w:rFonts w:asciiTheme="majorHAnsi" w:eastAsiaTheme="majorHAnsi" w:hAnsiTheme="majorHAnsi" w:hint="eastAsia"/>
          <w:i/>
          <w:sz w:val="21"/>
          <w:szCs w:val="21"/>
          <w:lang w:eastAsia="ko-KR"/>
        </w:rPr>
        <w:t>최종 승인</w:t>
      </w:r>
    </w:p>
    <w:p w14:paraId="3FF5ED6E" w14:textId="77777777" w:rsidR="00837184" w:rsidRPr="0040473F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8A25D91" w14:textId="0ED4E7CF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'양자</w:t>
      </w:r>
      <w:r w:rsidR="00292FB1">
        <w:rPr>
          <w:rFonts w:asciiTheme="majorHAnsi" w:eastAsiaTheme="majorHAnsi" w:hAnsiTheme="majorHAnsi" w:hint="eastAsia"/>
          <w:sz w:val="24"/>
          <w:szCs w:val="24"/>
          <w:lang w:eastAsia="ko-KR"/>
        </w:rPr>
        <w:t>보안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통신'은 양자컴퓨터의 공격으로부터 통신 전 과정을 보호하기 위해 </w:t>
      </w: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상호보완적인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양자키분배기술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(QKD)과 </w:t>
      </w: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양자내성암호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(PQC)의 장점을 활용</w:t>
      </w:r>
      <w:r w:rsidR="008F3F25">
        <w:rPr>
          <w:rFonts w:asciiTheme="majorHAnsi" w:eastAsiaTheme="majorHAnsi" w:hAnsiTheme="majorHAnsi" w:hint="eastAsia"/>
          <w:sz w:val="24"/>
          <w:szCs w:val="24"/>
          <w:lang w:eastAsia="ko-KR"/>
        </w:rPr>
        <w:t>해 시너지를 창출하는 통신</w:t>
      </w:r>
      <w:r w:rsidR="00B2574D">
        <w:rPr>
          <w:rFonts w:asciiTheme="majorHAnsi" w:eastAsiaTheme="majorHAnsi" w:hAnsiTheme="majorHAnsi" w:hint="eastAsia"/>
          <w:sz w:val="24"/>
          <w:szCs w:val="24"/>
          <w:lang w:eastAsia="ko-KR"/>
        </w:rPr>
        <w:t>보안</w:t>
      </w:r>
      <w:r w:rsidR="008F3F25">
        <w:rPr>
          <w:rFonts w:asciiTheme="majorHAnsi" w:eastAsiaTheme="majorHAnsi" w:hAnsiTheme="majorHAnsi" w:hint="eastAsia"/>
          <w:sz w:val="24"/>
          <w:szCs w:val="24"/>
          <w:lang w:eastAsia="ko-KR"/>
        </w:rPr>
        <w:t>기술이다.</w:t>
      </w:r>
    </w:p>
    <w:p w14:paraId="67EC5DE3" w14:textId="7777777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1DAC1FA" w14:textId="36AC0C0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양자키분배기술은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양자</w:t>
      </w:r>
      <w:r w:rsidR="00B6510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역학의 특성을 기반으로 하기 때문에 원칙적으로는 해킹이 불가능</w:t>
      </w:r>
      <w:r w:rsidR="00B2574D">
        <w:rPr>
          <w:rFonts w:asciiTheme="majorHAnsi" w:eastAsiaTheme="majorHAnsi" w:hAnsiTheme="majorHAnsi" w:hint="eastAsia"/>
          <w:sz w:val="24"/>
          <w:szCs w:val="24"/>
          <w:lang w:eastAsia="ko-KR"/>
        </w:rPr>
        <w:t>할 정도로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보안 강도가 높다. 하드웨어 기반 기술</w:t>
      </w:r>
      <w:r w:rsidR="00B2574D">
        <w:rPr>
          <w:rFonts w:asciiTheme="majorHAnsi" w:eastAsiaTheme="majorHAnsi" w:hAnsiTheme="majorHAnsi" w:hint="eastAsia"/>
          <w:sz w:val="24"/>
          <w:szCs w:val="24"/>
          <w:lang w:eastAsia="ko-KR"/>
        </w:rPr>
        <w:t>로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257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사업자는 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물리적인 키 분배장치를 구간마다 설치하고 운용해야 한다.</w:t>
      </w:r>
    </w:p>
    <w:p w14:paraId="70507EF7" w14:textId="77777777" w:rsidR="00837184" w:rsidRPr="00B2574D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B23C057" w14:textId="01564981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양자내성암호는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수학적 난제를 활용해 양자컴퓨터가 풀어내는</w:t>
      </w:r>
      <w:r w:rsidR="00C72C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데 오랜 시간이 걸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리도록 하는 암호화 방식으로 소프트웨어</w:t>
      </w:r>
      <w:r w:rsidR="0062587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업그레이드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로 구현이 가능해 확장성이 뛰어나다.</w:t>
      </w:r>
    </w:p>
    <w:p w14:paraId="0596B821" w14:textId="77777777" w:rsidR="00837184" w:rsidRPr="00B2574D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E3533" w14:textId="28D3E8AC" w:rsidR="00837184" w:rsidRPr="00837184" w:rsidRDefault="00B2574D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현재 </w:t>
      </w:r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양자암호와 </w:t>
      </w:r>
      <w:proofErr w:type="spellStart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양자내성암호를</w:t>
      </w:r>
      <w:proofErr w:type="spellEnd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통합해 관리하는 솔루션(Key management solution) 연구를 진행 중이다. 이를 활용하면 </w:t>
      </w:r>
      <w:proofErr w:type="spellStart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</w:t>
      </w:r>
      <w:r w:rsid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암호</w:t>
      </w:r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키</w:t>
      </w:r>
      <w:r w:rsid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와</w:t>
      </w:r>
      <w:proofErr w:type="spellEnd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양자내성암호</w:t>
      </w:r>
      <w:r w:rsid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 w:rsid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통합적으로 운영,</w:t>
      </w:r>
      <w:r w:rsidR="0083718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양자키분배기술을</w:t>
      </w:r>
      <w:proofErr w:type="spellEnd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적용한 구간과 </w:t>
      </w:r>
      <w:proofErr w:type="spellStart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양자내성암호기술을</w:t>
      </w:r>
      <w:proofErr w:type="spellEnd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적용한 구간을 연결해 통신 전 구간을 양자컴퓨터의 공격으로부터 보호할 수 있다.</w:t>
      </w:r>
      <w:r w:rsidR="005360A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360A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구간에 두 기술을 모두 </w:t>
      </w:r>
      <w:r w:rsidR="00E71F58">
        <w:rPr>
          <w:rFonts w:asciiTheme="majorHAnsi" w:eastAsiaTheme="majorHAnsi" w:hAnsiTheme="majorHAnsi" w:hint="eastAsia"/>
          <w:sz w:val="24"/>
          <w:szCs w:val="24"/>
          <w:lang w:eastAsia="ko-KR"/>
        </w:rPr>
        <w:t>사용해</w:t>
      </w:r>
      <w:r w:rsidR="005360A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보안 강도를 </w:t>
      </w:r>
      <w:r w:rsidR="00E71F58">
        <w:rPr>
          <w:rFonts w:asciiTheme="majorHAnsi" w:eastAsiaTheme="majorHAnsi" w:hAnsiTheme="majorHAnsi" w:hint="eastAsia"/>
          <w:sz w:val="24"/>
          <w:szCs w:val="24"/>
          <w:lang w:eastAsia="ko-KR"/>
        </w:rPr>
        <w:t>극대화하는</w:t>
      </w:r>
      <w:r w:rsidR="005360A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것도 가능하다.</w:t>
      </w:r>
    </w:p>
    <w:p w14:paraId="4E142BB2" w14:textId="77777777" w:rsidR="00837184" w:rsidRPr="00E71F58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F0BF4CB" w14:textId="72EEAB04" w:rsidR="00837184" w:rsidRPr="00837184" w:rsidRDefault="00B2574D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예를 들어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데이터센터에서 스마트폰까지 통신이 진행되는 경우</w:t>
      </w:r>
      <w:r w:rsid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유선</w:t>
      </w:r>
      <w:r w:rsid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망</w:t>
      </w:r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을 사용하는 데이터센터에서 인터넷망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구간</w:t>
      </w:r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과 교환국과 기지국 구간에는 양자암호를 적용하고 무선</w:t>
      </w:r>
      <w:r w:rsid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망</w:t>
      </w:r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기반의 기지국과 스마트폰 사이에는 </w:t>
      </w:r>
      <w:proofErr w:type="spellStart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양자내성암호를</w:t>
      </w:r>
      <w:proofErr w:type="spellEnd"/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적용</w:t>
      </w:r>
      <w:r w:rsid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통신 전 구간을 안전하고 효율적으로 양자컴퓨터의 공격으로부터 보호</w:t>
      </w:r>
      <w:r w:rsid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하는 방식이다</w:t>
      </w:r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E71F5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48BAE5B0" w14:textId="7777777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0A77E4" w14:textId="48D0E63E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데이터가 대규모로 저장되는 데이터센터와 백업 데이터센터간 혹은 공공, 국방, 금융 등 중요하고 민감한 데이터가 저장된 데이터 센터에는 </w:t>
      </w: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양자암호기술을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적용하고 이를 무선 통신으로 외부에 전송할 때는 양자 내성 암호를 적용하면 보다 안전한 통신이 가능하다.</w:t>
      </w:r>
    </w:p>
    <w:p w14:paraId="7BC9FC2B" w14:textId="77777777" w:rsidR="00ED39C4" w:rsidRPr="00ED39C4" w:rsidRDefault="00ED39C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B72B0FD" w14:textId="509E17D0" w:rsidR="00837184" w:rsidRPr="00837184" w:rsidRDefault="00157644" w:rsidP="0016184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noProof/>
          <w:sz w:val="24"/>
          <w:szCs w:val="24"/>
          <w:highlight w:val="yellow"/>
          <w:lang w:eastAsia="ko-KR"/>
        </w:rPr>
        <w:drawing>
          <wp:inline distT="0" distB="0" distL="0" distR="0" wp14:anchorId="3B82AAC5" wp14:editId="57FD20D8">
            <wp:extent cx="4826000" cy="388647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635" cy="388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C9CF8" w14:textId="7777777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1EC5BD" w14:textId="111DA6FA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이와 함께 SKT는 2025년부터 2028년까지 시행되는 차기 연구 회기에서 정보보호연구반 내 </w:t>
      </w: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관련 내용을 다루는 실무 작업반의 표준화 영역을 </w:t>
      </w:r>
      <w:r w:rsidR="00B54DA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양자 기술 전반으로 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확장하자는 기고도 제출해 </w:t>
      </w:r>
      <w:r w:rsidR="00407BDC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회의에서 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논의할 예정이다.</w:t>
      </w:r>
    </w:p>
    <w:p w14:paraId="0694AFDE" w14:textId="7777777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2B80B6" w14:textId="4871C099" w:rsidR="00837184" w:rsidRPr="00F11CD6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11C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="00F11CD6" w:rsidRPr="00F11CD6">
        <w:rPr>
          <w:rFonts w:ascii="맑은 고딕" w:hAnsi="맑은 고딕" w:cs="Arial"/>
          <w:b/>
          <w:bCs/>
          <w:spacing w:val="-2"/>
          <w:kern w:val="2"/>
          <w:sz w:val="24"/>
          <w:szCs w:val="24"/>
          <w:lang w:eastAsia="ko-KR"/>
        </w:rPr>
        <w:t xml:space="preserve">SKT, </w:t>
      </w:r>
      <w:proofErr w:type="spellStart"/>
      <w:r w:rsidR="00F11CD6" w:rsidRPr="00F11CD6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양자암호통신기술</w:t>
      </w:r>
      <w:proofErr w:type="spellEnd"/>
      <w:r w:rsidR="00F11CD6" w:rsidRPr="00F11CD6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 발전과 산업화 촉진 위해 글로벌 표준 수립 앞장</w:t>
      </w:r>
    </w:p>
    <w:p w14:paraId="4CF58E46" w14:textId="7777777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796FD0A" w14:textId="3506A96D" w:rsidR="00407BDC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SKT는</w:t>
      </w:r>
      <w:r w:rsidR="00407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07BDC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 기반 글로벌 보안 시장을 선도하기 위해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ITU-T</w:t>
      </w:r>
      <w:r w:rsidR="00A24D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포함해 </w:t>
      </w:r>
      <w:r w:rsidR="00A24D6D">
        <w:rPr>
          <w:rFonts w:asciiTheme="majorHAnsi" w:eastAsiaTheme="majorHAnsi" w:hAnsiTheme="majorHAnsi"/>
          <w:sz w:val="24"/>
          <w:szCs w:val="24"/>
          <w:lang w:eastAsia="ko-KR"/>
        </w:rPr>
        <w:t>ETSI(</w:t>
      </w:r>
      <w:r w:rsidR="00A24D6D">
        <w:rPr>
          <w:rFonts w:asciiTheme="majorHAnsi" w:eastAsiaTheme="majorHAnsi" w:hAnsiTheme="majorHAnsi" w:hint="eastAsia"/>
          <w:sz w:val="24"/>
          <w:szCs w:val="24"/>
          <w:lang w:eastAsia="ko-KR"/>
        </w:rPr>
        <w:t>유럽전기통신표준협회)</w:t>
      </w:r>
      <w:r w:rsidR="00F11CD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F11CD6">
        <w:rPr>
          <w:rFonts w:asciiTheme="majorHAnsi" w:eastAsiaTheme="majorHAnsi" w:hAnsiTheme="majorHAnsi"/>
          <w:sz w:val="24"/>
          <w:szCs w:val="24"/>
          <w:lang w:eastAsia="ko-KR"/>
        </w:rPr>
        <w:t>GSMA(</w:t>
      </w:r>
      <w:r w:rsidR="00F11CD6">
        <w:rPr>
          <w:rFonts w:asciiTheme="majorHAnsi" w:eastAsiaTheme="majorHAnsi" w:hAnsiTheme="majorHAnsi" w:hint="eastAsia"/>
          <w:sz w:val="24"/>
          <w:szCs w:val="24"/>
          <w:lang w:eastAsia="ko-KR"/>
        </w:rPr>
        <w:t>세계이동통신사업자연합회)</w:t>
      </w:r>
      <w:r w:rsidR="00407BD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07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 w:rsidR="00407BDC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권위있는 국제기구에서 표준 수립 활동을 활발히 진행하고 있다</w:t>
      </w:r>
      <w:r w:rsidR="00407BDC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  <w:r w:rsidR="00407BD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407BDC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유망 기술의 규격, 품질 등에 대한 공통 합의가 정해지면 기술의 발전과 산업화가 촉진되기 때문이다.</w:t>
      </w:r>
    </w:p>
    <w:p w14:paraId="001C2938" w14:textId="0963F8A2" w:rsidR="00F11CD6" w:rsidRDefault="00F11CD6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9E099E" w14:textId="77777777" w:rsidR="0056142B" w:rsidRDefault="00407BDC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ITU-T 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개의 산하 연구반이 존재하며, 정보보호연구반(SG17)은 보안에 특화된 조직</w:t>
      </w:r>
      <w:r w:rsidR="0056142B">
        <w:rPr>
          <w:rFonts w:asciiTheme="majorHAnsi" w:eastAsiaTheme="majorHAnsi" w:hAnsiTheme="majorHAnsi" w:hint="eastAsia"/>
          <w:sz w:val="24"/>
          <w:szCs w:val="24"/>
          <w:lang w:eastAsia="ko-KR"/>
        </w:rPr>
        <w:t>으로 연2회 개최되는 국제회의를 통해 보안에 대한 국제표준 및 기술보고서 개발을 위한활동을 한다.</w:t>
      </w:r>
      <w:r w:rsidR="0056142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0889393" w14:textId="77777777" w:rsidR="0056142B" w:rsidRDefault="0056142B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B461121" w14:textId="61E3F05A" w:rsidR="00407BDC" w:rsidRPr="0056142B" w:rsidRDefault="00407BDC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정보보호연구반은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5개의 실무반으로 구성</w:t>
      </w:r>
      <w:r w:rsidR="00C72C06">
        <w:rPr>
          <w:rFonts w:asciiTheme="majorHAnsi" w:eastAsiaTheme="majorHAnsi" w:hAnsiTheme="majorHAnsi" w:hint="eastAsia"/>
          <w:sz w:val="24"/>
          <w:szCs w:val="24"/>
          <w:lang w:eastAsia="ko-KR"/>
        </w:rPr>
        <w:t>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며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다양한 연구 과제의 국제표준 개발을 주도한다.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양자보안 및 차세대 보안 기술에 대한 표준을 수립하는 실무작업반의 의장을 맡아 </w:t>
      </w: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양자암호통신기술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국제 표준 수립을 선도하고 있다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56142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7A65694" w14:textId="77777777" w:rsidR="00407BDC" w:rsidRDefault="00407BDC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35FEA33" w14:textId="77A2D06C" w:rsidR="00837184" w:rsidRPr="00837184" w:rsidRDefault="00F11CD6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ETSI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양자암호통신망의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자동 제어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운영 기술 표준을 수립하고 이를 각기 다른 제조사의 통신 장비로 구성된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양자암호망으로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확장하는 표준 개발도 작업 중이다.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GSMA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에서도 양자암호 및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양자내성암호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실제 적용에 필요한 부분을 논의하는 것에도 앞장서고 있다.</w:t>
      </w:r>
      <w:r w:rsidR="00837184"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11A8670B" w14:textId="7777777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043D38" w14:textId="02909CE2" w:rsidR="00837184" w:rsidRPr="00407BDC" w:rsidRDefault="00407BDC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07B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proofErr w:type="spellStart"/>
      <w:r w:rsidRPr="00407BDC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>양자암호통신</w:t>
      </w:r>
      <w:proofErr w:type="spellEnd"/>
      <w:r w:rsidRPr="00407BDC">
        <w:rPr>
          <w:rFonts w:ascii="맑은 고딕" w:hAnsi="맑은 고딕" w:cs="Arial" w:hint="eastAsia"/>
          <w:b/>
          <w:bCs/>
          <w:spacing w:val="-2"/>
          <w:kern w:val="2"/>
          <w:sz w:val="24"/>
          <w:szCs w:val="24"/>
          <w:lang w:eastAsia="ko-KR"/>
        </w:rPr>
        <w:t xml:space="preserve"> 상용화 및 수출에 성공하는 등 세계 시장에서도 기술력 인정</w:t>
      </w:r>
    </w:p>
    <w:p w14:paraId="10DF7635" w14:textId="20441626" w:rsidR="00407BDC" w:rsidRDefault="00407BDC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127A48" w14:textId="6A289D47" w:rsidR="00EB14D9" w:rsidRDefault="00F108EB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글로벌 표준 제정</w:t>
      </w:r>
      <w:r w:rsidR="00C72C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등을 비롯해</w:t>
      </w:r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이를 기반으로 기술을 개발하고 상용화하는</w:t>
      </w:r>
      <w:r w:rsidR="00C72C0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>데도 앞장서고 있다.</w:t>
      </w:r>
      <w:r w:rsidR="00324EC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324ECB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1610A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610A1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1610A1">
        <w:rPr>
          <w:rFonts w:asciiTheme="majorHAnsi" w:eastAsiaTheme="majorHAnsi" w:hAnsiTheme="majorHAnsi" w:hint="eastAsia"/>
          <w:sz w:val="24"/>
          <w:szCs w:val="24"/>
          <w:lang w:eastAsia="ko-KR"/>
        </w:rPr>
        <w:t>브로드밴드,</w:t>
      </w:r>
      <w:r w:rsidR="001610A1">
        <w:rPr>
          <w:rFonts w:asciiTheme="majorHAnsi" w:eastAsiaTheme="majorHAnsi" w:hAnsiTheme="majorHAnsi"/>
          <w:sz w:val="24"/>
          <w:szCs w:val="24"/>
          <w:lang w:eastAsia="ko-KR"/>
        </w:rPr>
        <w:t xml:space="preserve"> IDQ </w:t>
      </w:r>
      <w:r w:rsidR="001610A1">
        <w:rPr>
          <w:rFonts w:asciiTheme="majorHAnsi" w:eastAsiaTheme="majorHAnsi" w:hAnsiTheme="majorHAnsi" w:hint="eastAsia"/>
          <w:sz w:val="24"/>
          <w:szCs w:val="24"/>
          <w:lang w:eastAsia="ko-KR"/>
        </w:rPr>
        <w:t>등과 함께</w:t>
      </w:r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24ECB">
        <w:rPr>
          <w:rFonts w:asciiTheme="majorHAnsi" w:eastAsiaTheme="majorHAnsi" w:hAnsiTheme="majorHAnsi"/>
          <w:sz w:val="24"/>
          <w:szCs w:val="24"/>
          <w:lang w:eastAsia="ko-KR"/>
        </w:rPr>
        <w:t>ETSI</w:t>
      </w:r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 각기 다른 제조사의 통신 장비로 구성된 </w:t>
      </w:r>
      <w:proofErr w:type="spellStart"/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양자암호망을</w:t>
      </w:r>
      <w:proofErr w:type="spellEnd"/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운용하는 것에 대한 표준 수립과 동시에 해당 기술을 국가 시험망에서 성공적으로 실증을 완료하는 등 </w:t>
      </w:r>
      <w:proofErr w:type="spellStart"/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="00324E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기술의 상용화에도 성과를 창출하고 있다. </w:t>
      </w:r>
    </w:p>
    <w:p w14:paraId="57B9A4EA" w14:textId="77777777" w:rsidR="00EB14D9" w:rsidRDefault="00EB14D9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1C68CA3" w14:textId="5EB941B0" w:rsidR="00112D4C" w:rsidRDefault="00324ECB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112D4C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112D4C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112D4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proofErr w:type="spellStart"/>
      <w:r w:rsidR="00EB14D9">
        <w:rPr>
          <w:rFonts w:asciiTheme="majorHAnsi" w:eastAsiaTheme="majorHAnsi" w:hAnsiTheme="majorHAnsi" w:hint="eastAsia"/>
          <w:sz w:val="24"/>
          <w:szCs w:val="24"/>
          <w:lang w:eastAsia="ko-KR"/>
        </w:rPr>
        <w:t>양자내성암호</w:t>
      </w:r>
      <w:proofErr w:type="spellEnd"/>
      <w:r w:rsidR="00EB14D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관련 글로벌 표준 기술로 채택될 가능성이 높은 알고리즘을 활용해 국내 최초로 미국,</w:t>
      </w:r>
      <w:r w:rsidR="00EB14D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B14D9">
        <w:rPr>
          <w:rFonts w:asciiTheme="majorHAnsi" w:eastAsiaTheme="majorHAnsi" w:hAnsiTheme="majorHAnsi" w:hint="eastAsia"/>
          <w:sz w:val="24"/>
          <w:szCs w:val="24"/>
          <w:lang w:eastAsia="ko-KR"/>
        </w:rPr>
        <w:t>일본,</w:t>
      </w:r>
      <w:r w:rsidR="00EB14D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B14D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싱가폴 등 </w:t>
      </w:r>
      <w:proofErr w:type="spellStart"/>
      <w:r w:rsidR="00EB14D9">
        <w:rPr>
          <w:rFonts w:asciiTheme="majorHAnsi" w:eastAsiaTheme="majorHAnsi" w:hAnsiTheme="majorHAnsi" w:hint="eastAsia"/>
          <w:sz w:val="24"/>
          <w:szCs w:val="24"/>
          <w:lang w:eastAsia="ko-KR"/>
        </w:rPr>
        <w:t>국제망</w:t>
      </w:r>
      <w:proofErr w:type="spellEnd"/>
      <w:r w:rsidR="00EB14D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EB14D9">
        <w:rPr>
          <w:rFonts w:asciiTheme="majorHAnsi" w:eastAsiaTheme="majorHAnsi" w:hAnsiTheme="majorHAnsi"/>
          <w:sz w:val="24"/>
          <w:szCs w:val="24"/>
          <w:lang w:eastAsia="ko-KR"/>
        </w:rPr>
        <w:t>VPN</w:t>
      </w:r>
      <w:r w:rsidR="00EB14D9" w:rsidRPr="00EB14D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(Virtual Private Network∙</w:t>
      </w:r>
      <w:proofErr w:type="spellStart"/>
      <w:r w:rsidR="00EB14D9" w:rsidRPr="00EB14D9">
        <w:rPr>
          <w:rFonts w:asciiTheme="majorHAnsi" w:eastAsiaTheme="majorHAnsi" w:hAnsiTheme="majorHAnsi" w:hint="eastAsia"/>
          <w:sz w:val="24"/>
          <w:szCs w:val="24"/>
          <w:lang w:eastAsia="ko-KR"/>
        </w:rPr>
        <w:t>가상사설망</w:t>
      </w:r>
      <w:proofErr w:type="spellEnd"/>
      <w:r w:rsidR="00EB14D9" w:rsidRPr="00EB14D9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EB14D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</w:t>
      </w:r>
      <w:proofErr w:type="spellStart"/>
      <w:r w:rsidR="00EB14D9">
        <w:rPr>
          <w:rFonts w:asciiTheme="majorHAnsi" w:eastAsiaTheme="majorHAnsi" w:hAnsiTheme="majorHAnsi" w:hint="eastAsia"/>
          <w:sz w:val="24"/>
          <w:szCs w:val="24"/>
          <w:lang w:eastAsia="ko-KR"/>
        </w:rPr>
        <w:t>양자내성암호를</w:t>
      </w:r>
      <w:proofErr w:type="spellEnd"/>
      <w:r w:rsidR="00EB14D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상용화하기도 했다.</w:t>
      </w:r>
    </w:p>
    <w:p w14:paraId="2E890014" w14:textId="77777777" w:rsidR="00112D4C" w:rsidRDefault="00112D4C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AD672E" w14:textId="5C3FABA1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양자암호통신기술에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대한 연구 노력을 바탕으로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SKT는 2016년 상용 LTE망과 2019년 서울 - 대전 구간 5G망에 </w:t>
      </w: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양자키분배기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적용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 성공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했다. 특히 미국, 유럽, 싱가포르 등 글로벌 시장에서 </w:t>
      </w: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구축 사업을 잇따라 수주하는 쾌거를 이루는 등 글로벌 무대에서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양자 기술력을 인정받고 있다.</w:t>
      </w:r>
    </w:p>
    <w:p w14:paraId="0D5C47C0" w14:textId="7777777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83943EE" w14:textId="67C693A8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글로벌 시장 규모는 2022년 이후 연평균 39.8% 성장해 2030년에는 24조 5,793억원 규모로 빠르게 성장할 것으로 기대된다.</w:t>
      </w:r>
    </w:p>
    <w:p w14:paraId="37EFB743" w14:textId="7777777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07B4E">
        <w:rPr>
          <w:rFonts w:asciiTheme="majorHAnsi" w:eastAsiaTheme="majorHAnsi" w:hAnsiTheme="majorHAnsi" w:hint="eastAsia"/>
          <w:sz w:val="20"/>
          <w:szCs w:val="24"/>
          <w:lang w:eastAsia="ko-KR"/>
        </w:rPr>
        <w:t>(</w:t>
      </w:r>
      <w:proofErr w:type="gramStart"/>
      <w:r w:rsidRPr="00507B4E">
        <w:rPr>
          <w:rFonts w:asciiTheme="majorHAnsi" w:eastAsiaTheme="majorHAnsi" w:hAnsiTheme="majorHAnsi" w:hint="eastAsia"/>
          <w:sz w:val="20"/>
          <w:szCs w:val="24"/>
          <w:lang w:eastAsia="ko-KR"/>
        </w:rPr>
        <w:t>출처 :</w:t>
      </w:r>
      <w:proofErr w:type="gramEnd"/>
      <w:r w:rsidRPr="00507B4E">
        <w:rPr>
          <w:rFonts w:asciiTheme="majorHAnsi" w:eastAsiaTheme="majorHAnsi" w:hAnsiTheme="majorHAnsi" w:hint="eastAsia"/>
          <w:sz w:val="20"/>
          <w:szCs w:val="24"/>
          <w:lang w:eastAsia="ko-KR"/>
        </w:rPr>
        <w:t xml:space="preserve"> 2023 국내외 보안시장 전망 </w:t>
      </w:r>
      <w:proofErr w:type="gramStart"/>
      <w:r w:rsidRPr="00507B4E">
        <w:rPr>
          <w:rFonts w:asciiTheme="majorHAnsi" w:eastAsiaTheme="majorHAnsi" w:hAnsiTheme="majorHAnsi" w:hint="eastAsia"/>
          <w:sz w:val="20"/>
          <w:szCs w:val="24"/>
          <w:lang w:eastAsia="ko-KR"/>
        </w:rPr>
        <w:t>보고서 /</w:t>
      </w:r>
      <w:proofErr w:type="gramEnd"/>
      <w:r w:rsidRPr="00507B4E">
        <w:rPr>
          <w:rFonts w:asciiTheme="majorHAnsi" w:eastAsiaTheme="majorHAnsi" w:hAnsiTheme="majorHAnsi" w:hint="eastAsia"/>
          <w:sz w:val="20"/>
          <w:szCs w:val="24"/>
          <w:lang w:eastAsia="ko-KR"/>
        </w:rPr>
        <w:t xml:space="preserve"> 2022 양자정보기술 백서)</w:t>
      </w:r>
    </w:p>
    <w:p w14:paraId="025648DB" w14:textId="77777777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44FA93" w14:textId="309522D1" w:rsidR="00837184" w:rsidRPr="00837184" w:rsidRDefault="00837184" w:rsidP="0083718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>하민용</w:t>
      </w:r>
      <w:proofErr w:type="spellEnd"/>
      <w:r w:rsidRPr="0083718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최고사업개발책임자(CDO)는 "</w:t>
      </w:r>
      <w:r w:rsidR="00507B4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국제 회의에서 </w:t>
      </w:r>
      <w:proofErr w:type="spellStart"/>
      <w:r w:rsidR="00507B4E">
        <w:rPr>
          <w:rFonts w:asciiTheme="majorHAnsi" w:eastAsiaTheme="majorHAnsi" w:hAnsiTheme="majorHAnsi" w:hint="eastAsia"/>
          <w:sz w:val="24"/>
          <w:szCs w:val="24"/>
          <w:lang w:eastAsia="ko-KR"/>
        </w:rPr>
        <w:t>상호보완적인</w:t>
      </w:r>
      <w:proofErr w:type="spellEnd"/>
      <w:r w:rsidR="00507B4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양자 암호와 양자 내성 암호의 장점을 활용한 차세대 보안 기술의 표준 수립에 앞장섰다는 점에서 큰 의미가 있다</w:t>
      </w:r>
      <w:r w:rsidR="00507B4E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507B4E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507B4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07B4E">
        <w:rPr>
          <w:rFonts w:asciiTheme="majorHAnsi" w:eastAsiaTheme="majorHAnsi" w:hAnsiTheme="majorHAnsi"/>
          <w:sz w:val="24"/>
          <w:szCs w:val="24"/>
          <w:lang w:eastAsia="ko-KR"/>
        </w:rPr>
        <w:t>“SKT</w:t>
      </w:r>
      <w:r w:rsidR="00507B4E">
        <w:rPr>
          <w:rFonts w:asciiTheme="majorHAnsi" w:eastAsiaTheme="majorHAnsi" w:hAnsiTheme="majorHAnsi" w:hint="eastAsia"/>
          <w:sz w:val="24"/>
          <w:szCs w:val="24"/>
          <w:lang w:eastAsia="ko-KR"/>
        </w:rPr>
        <w:t>는 국가대표 양자 기업으로서</w:t>
      </w:r>
      <w:r w:rsidR="00507B4E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507B4E">
        <w:rPr>
          <w:rFonts w:asciiTheme="majorHAnsi" w:eastAsiaTheme="majorHAnsi" w:hAnsiTheme="majorHAnsi" w:hint="eastAsia"/>
          <w:sz w:val="24"/>
          <w:szCs w:val="24"/>
          <w:lang w:eastAsia="ko-KR"/>
        </w:rPr>
        <w:t>양자 암호 통신 관련 연구와 사업을 통해 글로벌 양자 암호 시장을 선도할 것</w:t>
      </w:r>
      <w:r w:rsidR="00507B4E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507B4E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1264FD9A" w14:textId="77777777" w:rsidR="0072591A" w:rsidRDefault="0072591A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8683B21" w14:textId="77777777" w:rsidR="0047253F" w:rsidRPr="007709E7" w:rsidRDefault="0047253F" w:rsidP="007709E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EC99" w14:textId="77777777" w:rsidR="00996F78" w:rsidRDefault="00996F78">
      <w:pPr>
        <w:spacing w:after="0" w:line="240" w:lineRule="auto"/>
      </w:pPr>
      <w:r>
        <w:separator/>
      </w:r>
    </w:p>
  </w:endnote>
  <w:endnote w:type="continuationSeparator" w:id="0">
    <w:p w14:paraId="46805098" w14:textId="77777777" w:rsidR="00996F78" w:rsidRDefault="0099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4565" w14:textId="77777777" w:rsidR="00996F78" w:rsidRDefault="00996F78">
      <w:pPr>
        <w:spacing w:after="0" w:line="240" w:lineRule="auto"/>
      </w:pPr>
      <w:r>
        <w:separator/>
      </w:r>
    </w:p>
  </w:footnote>
  <w:footnote w:type="continuationSeparator" w:id="0">
    <w:p w14:paraId="040377FB" w14:textId="77777777" w:rsidR="00996F78" w:rsidRDefault="00996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19666616">
    <w:abstractNumId w:val="1"/>
  </w:num>
  <w:num w:numId="2" w16cid:durableId="908803206">
    <w:abstractNumId w:val="3"/>
  </w:num>
  <w:num w:numId="3" w16cid:durableId="264311882">
    <w:abstractNumId w:val="10"/>
  </w:num>
  <w:num w:numId="4" w16cid:durableId="1948081007">
    <w:abstractNumId w:val="6"/>
  </w:num>
  <w:num w:numId="5" w16cid:durableId="1430733945">
    <w:abstractNumId w:val="5"/>
  </w:num>
  <w:num w:numId="6" w16cid:durableId="526480700">
    <w:abstractNumId w:val="9"/>
  </w:num>
  <w:num w:numId="7" w16cid:durableId="888155114">
    <w:abstractNumId w:val="4"/>
  </w:num>
  <w:num w:numId="8" w16cid:durableId="1729183540">
    <w:abstractNumId w:val="7"/>
  </w:num>
  <w:num w:numId="9" w16cid:durableId="333923955">
    <w:abstractNumId w:val="2"/>
  </w:num>
  <w:num w:numId="10" w16cid:durableId="221067931">
    <w:abstractNumId w:val="8"/>
  </w:num>
  <w:num w:numId="11" w16cid:durableId="125601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860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D4C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644"/>
    <w:rsid w:val="001577A6"/>
    <w:rsid w:val="00157B60"/>
    <w:rsid w:val="00157D34"/>
    <w:rsid w:val="001610A1"/>
    <w:rsid w:val="0016184E"/>
    <w:rsid w:val="00165118"/>
    <w:rsid w:val="001655DF"/>
    <w:rsid w:val="0016600F"/>
    <w:rsid w:val="00167353"/>
    <w:rsid w:val="00167967"/>
    <w:rsid w:val="00167AF7"/>
    <w:rsid w:val="001718F4"/>
    <w:rsid w:val="00171ADE"/>
    <w:rsid w:val="00175454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6F39"/>
    <w:rsid w:val="00187F12"/>
    <w:rsid w:val="00187FE5"/>
    <w:rsid w:val="001900D3"/>
    <w:rsid w:val="00190BAB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89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E0080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2FB1"/>
    <w:rsid w:val="0029314A"/>
    <w:rsid w:val="00293E61"/>
    <w:rsid w:val="00295642"/>
    <w:rsid w:val="00296718"/>
    <w:rsid w:val="00297789"/>
    <w:rsid w:val="00297B55"/>
    <w:rsid w:val="002A0341"/>
    <w:rsid w:val="002A0DFC"/>
    <w:rsid w:val="002A1A45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4ECB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91D"/>
    <w:rsid w:val="0034119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1A50"/>
    <w:rsid w:val="00362200"/>
    <w:rsid w:val="00362314"/>
    <w:rsid w:val="0036442F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F27"/>
    <w:rsid w:val="00385D7C"/>
    <w:rsid w:val="003864D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473F"/>
    <w:rsid w:val="00405AC0"/>
    <w:rsid w:val="00406EFB"/>
    <w:rsid w:val="00407AD9"/>
    <w:rsid w:val="00407BDC"/>
    <w:rsid w:val="00407D57"/>
    <w:rsid w:val="004107BF"/>
    <w:rsid w:val="00411195"/>
    <w:rsid w:val="00412C47"/>
    <w:rsid w:val="00413649"/>
    <w:rsid w:val="0041382A"/>
    <w:rsid w:val="00414546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1DF2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5628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701C"/>
    <w:rsid w:val="004C7B38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B4E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60AB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9AC"/>
    <w:rsid w:val="00554258"/>
    <w:rsid w:val="00554DB6"/>
    <w:rsid w:val="0055753F"/>
    <w:rsid w:val="005602C9"/>
    <w:rsid w:val="0056142B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9B3"/>
    <w:rsid w:val="005D3C6D"/>
    <w:rsid w:val="005D49C0"/>
    <w:rsid w:val="005D4A9F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5787"/>
    <w:rsid w:val="005E62AB"/>
    <w:rsid w:val="005E7908"/>
    <w:rsid w:val="005E79DB"/>
    <w:rsid w:val="005F0B25"/>
    <w:rsid w:val="005F1CB8"/>
    <w:rsid w:val="005F22CE"/>
    <w:rsid w:val="005F26B2"/>
    <w:rsid w:val="005F33D7"/>
    <w:rsid w:val="005F5EE0"/>
    <w:rsid w:val="005F6161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647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87F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144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05EE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91A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09E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5F69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D118E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27A2A"/>
    <w:rsid w:val="00831B4F"/>
    <w:rsid w:val="008321B3"/>
    <w:rsid w:val="00832893"/>
    <w:rsid w:val="0083382A"/>
    <w:rsid w:val="00833F0E"/>
    <w:rsid w:val="0083708E"/>
    <w:rsid w:val="00837184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2CC5"/>
    <w:rsid w:val="008D35C0"/>
    <w:rsid w:val="008D3C83"/>
    <w:rsid w:val="008D40DF"/>
    <w:rsid w:val="008D49CC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18D"/>
    <w:rsid w:val="008F1B3B"/>
    <w:rsid w:val="008F3F25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6F78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3652"/>
    <w:rsid w:val="009B3728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4D6D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0427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4C9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5566"/>
    <w:rsid w:val="00B2574D"/>
    <w:rsid w:val="00B27DE4"/>
    <w:rsid w:val="00B30E17"/>
    <w:rsid w:val="00B31EAD"/>
    <w:rsid w:val="00B329CF"/>
    <w:rsid w:val="00B3522E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4DA7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65104"/>
    <w:rsid w:val="00B7219A"/>
    <w:rsid w:val="00B744CF"/>
    <w:rsid w:val="00B75882"/>
    <w:rsid w:val="00B75B2A"/>
    <w:rsid w:val="00B76730"/>
    <w:rsid w:val="00B8060F"/>
    <w:rsid w:val="00B810CC"/>
    <w:rsid w:val="00B82461"/>
    <w:rsid w:val="00B82CCB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4DEF"/>
    <w:rsid w:val="00BF603A"/>
    <w:rsid w:val="00BF60C4"/>
    <w:rsid w:val="00BF6C79"/>
    <w:rsid w:val="00C004FC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2C06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1137"/>
    <w:rsid w:val="00C91243"/>
    <w:rsid w:val="00C913C5"/>
    <w:rsid w:val="00C91AF1"/>
    <w:rsid w:val="00C93EF2"/>
    <w:rsid w:val="00C9495B"/>
    <w:rsid w:val="00C955B5"/>
    <w:rsid w:val="00C957D0"/>
    <w:rsid w:val="00C95B14"/>
    <w:rsid w:val="00C95E62"/>
    <w:rsid w:val="00CA20CF"/>
    <w:rsid w:val="00CA2C8B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66E8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489B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322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1F58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3EDF"/>
    <w:rsid w:val="00EA49AE"/>
    <w:rsid w:val="00EA7BDB"/>
    <w:rsid w:val="00EA7E14"/>
    <w:rsid w:val="00EA7E1B"/>
    <w:rsid w:val="00EB03D1"/>
    <w:rsid w:val="00EB1311"/>
    <w:rsid w:val="00EB14D9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39C4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08EB"/>
    <w:rsid w:val="00F11CD6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8125-981D-4600-B47C-494DD653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2026-01-14T08:12:00Z</dcterms:created>
  <dcterms:modified xsi:type="dcterms:W3CDTF">2026-01-14T08:12:00Z</dcterms:modified>
  <cp:version>0900.0001.01</cp:version>
</cp:coreProperties>
</file>