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E607" w14:textId="12C958D3" w:rsidR="00F5735A" w:rsidRDefault="00F5735A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573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SK텔레콤, 2023년 </w:t>
      </w:r>
      <w:r w:rsidR="0072591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</w:t>
      </w:r>
      <w:r w:rsidRPr="00F573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분기 실적발표</w:t>
      </w:r>
    </w:p>
    <w:p w14:paraId="571B869A" w14:textId="6735F63F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2591A" w:rsidRP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연결 기준 매출 4조 3,064억원, 영업이익 4,634억원, 순이익 3,478억원</w:t>
      </w:r>
    </w:p>
    <w:p w14:paraId="26A88476" w14:textId="5473AAAD" w:rsidR="000505EB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2591A" w:rsidRP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글로벌 AI 주도권 확보 위한 동맹 활발...</w:t>
      </w:r>
      <w:r w:rsidR="008D49C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2591A" w:rsidRP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AI컴퍼니 전환 위한 자강 전략 </w:t>
      </w:r>
      <w:r w:rsid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병행</w:t>
      </w:r>
    </w:p>
    <w:p w14:paraId="5588AB56" w14:textId="5E6ED954" w:rsidR="00D01149" w:rsidRPr="00ED618C" w:rsidRDefault="00D01149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2591A" w:rsidRP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엔터프라이즈, 미디어, AIVERSE 등 신사업 성장세 지속... 통신 리더십도 견고</w:t>
      </w:r>
    </w:p>
    <w:p w14:paraId="23085C35" w14:textId="165291C3" w:rsidR="007D1631" w:rsidRDefault="00136CF6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2591A" w:rsidRPr="0072591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기업가치 및 주주가치 제고 위한 주주환원 정책 추진하며 ESG 경영 </w:t>
      </w:r>
      <w:r w:rsidR="004D6B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65006830" w14:textId="2D754839" w:rsidR="00EE19F6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금일 1</w:t>
            </w:r>
            <w:r w:rsidR="0072591A"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6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BA9D78C" w14:textId="4A439238" w:rsidR="00EE19F6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</w:t>
            </w:r>
            <w:r w:rsidR="00F5735A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3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Q</w:t>
            </w:r>
            <w:r w:rsidR="0072591A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2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_kor.php</w:t>
            </w:r>
          </w:p>
          <w:p w14:paraId="506BC08A" w14:textId="36D47BE5" w:rsidR="00EE19F6" w:rsidRPr="00D91495" w:rsidRDefault="00EE19F6" w:rsidP="00EE19F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</w:t>
            </w:r>
            <w:r w:rsidR="00F5735A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3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Q</w:t>
            </w:r>
            <w:r w:rsidR="0072591A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2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50EF242C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591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2591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E707B5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2023년 2분기 매출 4조 3,064억원, 영업이익 4,634억원, 순이익 3,478억원을 기록했다고 8일 밝혔다.</w:t>
      </w:r>
    </w:p>
    <w:p w14:paraId="551F9EBE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F8DB2A" w14:textId="3409F5E3" w:rsidR="00792CE5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SKT는 올해 2분기 주요 사업에서 성장을 지속하며 전년 동기 대비 연결 기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>준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매출과 영업이익이 각각 0.4%, 0.8% 증가했다. 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데이터센터 매출은 전년 </w:t>
      </w:r>
      <w:r w:rsidR="00C8446D">
        <w:rPr>
          <w:rFonts w:asciiTheme="majorHAnsi" w:eastAsiaTheme="majorHAnsi" w:hAnsiTheme="majorHAnsi" w:hint="eastAsia"/>
          <w:sz w:val="24"/>
          <w:szCs w:val="24"/>
          <w:lang w:eastAsia="ko-KR"/>
        </w:rPr>
        <w:t>동기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대비 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 xml:space="preserve">30% 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>이상 상승했으며,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44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사업 매출</w:t>
      </w:r>
      <w:r w:rsidR="00C8446D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 xml:space="preserve">60% 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>이상 증가했다.</w:t>
      </w:r>
    </w:p>
    <w:p w14:paraId="2BDE3C10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B2E957" w14:textId="3BB911C6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SKT는 별도 재무제표 기준 2023년 2분기 매출 3조 1,192억원, 영업이익 3,791억원, 순이익 2,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>728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</w:p>
    <w:p w14:paraId="75AE5291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A28C12" w14:textId="0D185C54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SK브로드밴드(SKB)는 전년 동기 대비 </w:t>
      </w:r>
      <w:r w:rsidR="00A222E4" w:rsidRPr="00A222E4">
        <w:rPr>
          <w:rFonts w:asciiTheme="majorHAnsi" w:eastAsiaTheme="majorHAnsi" w:hAnsiTheme="majorHAnsi"/>
          <w:sz w:val="24"/>
          <w:szCs w:val="24"/>
          <w:lang w:eastAsia="ko-KR"/>
        </w:rPr>
        <w:t>3.4</w:t>
      </w:r>
      <w:r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증가한 매출 </w:t>
      </w:r>
      <w:r w:rsidR="00A222E4" w:rsidRPr="00A222E4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A222E4"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A222E4" w:rsidRPr="00A222E4">
        <w:rPr>
          <w:rFonts w:asciiTheme="majorHAnsi" w:eastAsiaTheme="majorHAnsi" w:hAnsiTheme="majorHAnsi"/>
          <w:sz w:val="24"/>
          <w:szCs w:val="24"/>
          <w:lang w:eastAsia="ko-KR"/>
        </w:rPr>
        <w:t>683</w:t>
      </w:r>
      <w:r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억원을 기록했다. 영업이익은 </w:t>
      </w:r>
      <w:r w:rsidR="00A222E4" w:rsidRPr="00A222E4">
        <w:rPr>
          <w:rFonts w:asciiTheme="majorHAnsi" w:eastAsiaTheme="majorHAnsi" w:hAnsiTheme="majorHAnsi"/>
          <w:sz w:val="24"/>
          <w:szCs w:val="24"/>
          <w:lang w:eastAsia="ko-KR"/>
        </w:rPr>
        <w:t>827</w:t>
      </w:r>
      <w:r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억원으로 전년 동기 대비 </w:t>
      </w:r>
      <w:r w:rsidR="00A222E4" w:rsidRPr="00A222E4">
        <w:rPr>
          <w:rFonts w:asciiTheme="majorHAnsi" w:eastAsiaTheme="majorHAnsi" w:hAnsiTheme="majorHAnsi"/>
          <w:sz w:val="24"/>
          <w:szCs w:val="24"/>
          <w:lang w:eastAsia="ko-KR"/>
        </w:rPr>
        <w:t>5.8</w:t>
      </w:r>
      <w:r w:rsidRPr="00A222E4">
        <w:rPr>
          <w:rFonts w:asciiTheme="majorHAnsi" w:eastAsiaTheme="majorHAnsi" w:hAnsiTheme="majorHAnsi" w:hint="eastAsia"/>
          <w:sz w:val="24"/>
          <w:szCs w:val="24"/>
          <w:lang w:eastAsia="ko-KR"/>
        </w:rPr>
        <w:t>% 증가했다.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65E47111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7D293E9" w14:textId="5596CC63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글로벌 AI 주도권 확보 위한 동맹 활발... AI 컴퍼니 전환 위한 자강 전략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병행</w:t>
      </w:r>
    </w:p>
    <w:p w14:paraId="3481195A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B66504" w14:textId="6A80A98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SKT는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도이치텔레콤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e&amp;,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싱텔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중심으로 하는 ‘글로벌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텔코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얼라이언스’를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공식 출범시키고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각사의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핵심 AI 역량을 결집해 새로운 AI 서비스 기획에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중추 역할을 담당할 '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텔코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플랫폼'을 공동 개발하기로 했다. </w:t>
      </w:r>
    </w:p>
    <w:p w14:paraId="0B4E23B2" w14:textId="23ABC3F8" w:rsid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A151A8" w14:textId="77777777" w:rsidR="00C004FC" w:rsidRPr="0072591A" w:rsidRDefault="00C004FC" w:rsidP="00C004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지난 6월 말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(A.) 안에 MS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애저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오픈AI(Azure Open AI) 서비스의 ChatGPT 모델을 활용한 '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챗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T' 기능도 추가했다. 사용자들은 ‘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챗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T’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해당 분야에 대한 전문 지식을 가진 사람과 대화하는 것처럼 보다 더 풍성한 정보를 얻을 수 있다.</w:t>
      </w:r>
    </w:p>
    <w:p w14:paraId="14D2234F" w14:textId="77777777" w:rsidR="00C004FC" w:rsidRPr="0072591A" w:rsidRDefault="00C004FC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228B43" w14:textId="64F4886B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SKT는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에이닷에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적용된 자체 거대언어모델 고도화를 통해 단답형 대화가 아닌 이용자의 맥락을 이해하고 복잡한 의도를 파악하며 연속적으로 말을 </w:t>
      </w:r>
      <w:proofErr w:type="gram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주고 받을</w:t>
      </w:r>
      <w:proofErr w:type="gram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있는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멀티턴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방식의 대화(Multiturn Dialog)를 처리하는 등 보다 논리적이고 유용한 답변을 제공하고 있다.</w:t>
      </w:r>
    </w:p>
    <w:p w14:paraId="0A456235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D54F11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엔터프라이즈, 미디어, AIVERSE 등 신사업 성장세 지속... 통신 리더십도 견고 </w:t>
      </w:r>
    </w:p>
    <w:p w14:paraId="6C470169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0E08DC" w14:textId="3D618A6A" w:rsidR="0072591A" w:rsidRPr="0072591A" w:rsidRDefault="0072591A" w:rsidP="00792CE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엔터프라이즈 사업 매출은 전년 동기 대비 </w:t>
      </w:r>
      <w:r w:rsidR="0033691D" w:rsidRPr="0033691D">
        <w:rPr>
          <w:rFonts w:asciiTheme="majorHAnsi" w:eastAsiaTheme="majorHAnsi" w:hAnsiTheme="majorHAnsi"/>
          <w:sz w:val="24"/>
          <w:szCs w:val="24"/>
          <w:lang w:eastAsia="ko-KR"/>
        </w:rPr>
        <w:t>9.2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증가한 </w:t>
      </w:r>
      <w:r w:rsidR="0033691D" w:rsidRPr="0033691D">
        <w:rPr>
          <w:rFonts w:asciiTheme="majorHAnsi" w:eastAsiaTheme="majorHAnsi" w:hAnsiTheme="majorHAnsi"/>
          <w:sz w:val="24"/>
          <w:szCs w:val="24"/>
          <w:lang w:eastAsia="ko-KR"/>
        </w:rPr>
        <w:t>4,07</w:t>
      </w:r>
      <w:r w:rsidR="00D1753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억원을 기록하며 급성장했다. </w:t>
      </w:r>
      <w:r w:rsidR="00792CE5"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 사업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792CE5"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6231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데이터센터의 가동률 상승과 분당 </w:t>
      </w:r>
      <w:r w:rsidR="00362314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36231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센터 오픈에 따라 </w:t>
      </w:r>
      <w:r w:rsidR="00792CE5"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전년 동기 대비 30% 이상의 매출 성장</w:t>
      </w:r>
      <w:r w:rsidR="00362314">
        <w:rPr>
          <w:rFonts w:asciiTheme="majorHAnsi" w:eastAsiaTheme="majorHAnsi" w:hAnsiTheme="majorHAnsi" w:hint="eastAsia"/>
          <w:sz w:val="24"/>
          <w:szCs w:val="24"/>
          <w:lang w:eastAsia="ko-KR"/>
        </w:rPr>
        <w:t>을 달성했으며,</w:t>
      </w:r>
      <w:r w:rsidR="0036231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92CE5"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신규 데이터센터 오픈도 준비 중이다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 사업</w:t>
      </w:r>
      <w:r w:rsidR="00362314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2분기 게임, 금융 등에서의 수주를 기반으로 매출</w:t>
      </w:r>
      <w:r w:rsidR="004D6B47"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</w:t>
      </w:r>
      <w:r w:rsidR="0033691D" w:rsidRPr="0033691D">
        <w:rPr>
          <w:rFonts w:asciiTheme="majorHAnsi" w:eastAsiaTheme="majorHAnsi" w:hAnsiTheme="majorHAnsi"/>
          <w:sz w:val="24"/>
          <w:szCs w:val="24"/>
          <w:lang w:eastAsia="ko-KR"/>
        </w:rPr>
        <w:t>60</w:t>
      </w:r>
      <w:r w:rsidRPr="003369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이상 성장했다. AI 서비스와 하이브리드 클라우드 시장 확대에 따라 추가적인 성장이 기대된다. </w:t>
      </w:r>
    </w:p>
    <w:p w14:paraId="6476D987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8F5293" w14:textId="784E4F00" w:rsidR="00A222E4" w:rsidRDefault="00A222E4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 사업 매출은 전년 동기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1.2%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3,865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44DB7">
        <w:rPr>
          <w:rFonts w:asciiTheme="majorHAnsi" w:eastAsiaTheme="majorHAnsi" w:hAnsiTheme="majorHAnsi" w:hint="eastAsia"/>
          <w:sz w:val="24"/>
          <w:szCs w:val="24"/>
          <w:lang w:eastAsia="ko-KR"/>
        </w:rPr>
        <w:t>팀스튜디오(</w:t>
      </w:r>
      <w:r w:rsidR="00C9495B">
        <w:rPr>
          <w:rFonts w:asciiTheme="majorHAnsi" w:eastAsiaTheme="majorHAnsi" w:hAnsiTheme="majorHAnsi"/>
          <w:sz w:val="24"/>
          <w:szCs w:val="24"/>
          <w:lang w:eastAsia="ko-KR"/>
        </w:rPr>
        <w:t>TEAM studio</w:t>
      </w:r>
      <w:r w:rsidR="00144DB7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C9495B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proofErr w:type="spellStart"/>
      <w:r w:rsidR="00C9495B">
        <w:rPr>
          <w:rFonts w:asciiTheme="majorHAnsi" w:eastAsiaTheme="majorHAnsi" w:hAnsiTheme="majorHAnsi" w:hint="eastAsia"/>
          <w:sz w:val="24"/>
          <w:szCs w:val="24"/>
          <w:lang w:eastAsia="ko-KR"/>
        </w:rPr>
        <w:t>B</w:t>
      </w:r>
      <w:r w:rsidR="00C9495B">
        <w:rPr>
          <w:rFonts w:asciiTheme="majorHAnsi" w:eastAsiaTheme="majorHAnsi" w:hAnsiTheme="majorHAnsi"/>
          <w:sz w:val="24"/>
          <w:szCs w:val="24"/>
          <w:lang w:eastAsia="ko-KR"/>
        </w:rPr>
        <w:t>tv</w:t>
      </w:r>
      <w:proofErr w:type="spellEnd"/>
      <w:r w:rsidR="00C9495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949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양질의 </w:t>
      </w:r>
      <w:r w:rsid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자산</w:t>
      </w:r>
      <w:r w:rsidR="00D848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기반으로 </w:t>
      </w:r>
      <w:r w:rsidR="0033691D">
        <w:rPr>
          <w:rFonts w:asciiTheme="majorHAnsi" w:eastAsiaTheme="majorHAnsi" w:hAnsiTheme="majorHAnsi" w:hint="eastAsia"/>
          <w:sz w:val="24"/>
          <w:szCs w:val="24"/>
          <w:lang w:eastAsia="ko-KR"/>
        </w:rPr>
        <w:t>성장세를 이어갔다.</w:t>
      </w:r>
      <w:r w:rsidR="003369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6FE3273" w14:textId="77777777" w:rsidR="00A222E4" w:rsidRPr="0072591A" w:rsidRDefault="00A222E4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037446" w14:textId="301F1435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글로벌 UAM 기체 제조사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에비에이션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(Joby Aviation, 이하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)에 1억 달러를 투자해 약 2%의 지분을 확보하고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기체 국내 독점 사용권을 확보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 w:rsidR="004D6B4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 </w:t>
      </w:r>
      <w:r w:rsidR="004D6B47">
        <w:rPr>
          <w:rFonts w:asciiTheme="majorHAnsi" w:eastAsiaTheme="majorHAnsi" w:hAnsiTheme="majorHAnsi"/>
          <w:sz w:val="24"/>
          <w:szCs w:val="24"/>
          <w:lang w:eastAsia="ko-KR"/>
        </w:rPr>
        <w:t>UAM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분야 연구개발과 국내 UAM 생태계 조성을 위한 사업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>에도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약속하는 등 UAM 사업을 선도하고 있다. </w:t>
      </w:r>
    </w:p>
    <w:p w14:paraId="4990708E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3ACA3B" w14:textId="712A98D1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'는 2분기 기준 전체 MAU의 30%를 해외에서 유치하며 글로벌 시장에 안착하고 있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5월 선보인 메타버스 SNS 기능 '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이프홈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'은 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말 기준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누적 40만개 이상 개설됐다. 'T우주'는 '유튜브 프리미엄'과 같은 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파급력있는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제휴를 기반으로 2분기 월간 실사용자 200만 이상을 기록했다. </w:t>
      </w:r>
    </w:p>
    <w:p w14:paraId="7B6D20AE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48BBEF4" w14:textId="0AFBCE9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2분기 말 기준 SKT는 5G 가입자 수 1,467만명을 기록하고 SKB는 유료방송 가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입자 수 946만명, 초고속 인터넷 가입자 수 681만명을 확보하는 등 </w:t>
      </w:r>
      <w:r w:rsidR="00144D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양사는 </w:t>
      </w:r>
      <w:r w:rsidR="00D8489B">
        <w:rPr>
          <w:rFonts w:asciiTheme="majorHAnsi" w:eastAsiaTheme="majorHAnsi" w:hAnsiTheme="majorHAnsi"/>
          <w:sz w:val="24"/>
          <w:szCs w:val="24"/>
          <w:lang w:eastAsia="ko-KR"/>
        </w:rPr>
        <w:t>SKT-B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시너지를 바탕으로 유무선통신 시장에서의 리더십도 견고히 유지하고 있다.</w:t>
      </w:r>
    </w:p>
    <w:p w14:paraId="20296757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6E4021" w14:textId="38E956F8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SKT는 올해 상반기 총 25종의 5G 신규 요금제를 출시하며 고객의 선택권 확대를 위해 노력했</w:t>
      </w:r>
      <w:r w:rsidR="00D8489B">
        <w:rPr>
          <w:rFonts w:asciiTheme="majorHAnsi" w:eastAsiaTheme="majorHAnsi" w:hAnsiTheme="majorHAnsi"/>
          <w:sz w:val="24"/>
          <w:szCs w:val="24"/>
          <w:lang w:eastAsia="ko-KR"/>
        </w:rPr>
        <w:t>다.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특히 청년들의 데이터 이용 패턴과 생활 트렌드를 적극 반영한 '0청년 요금제'는 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 후 약 </w:t>
      </w:r>
      <w:r w:rsidR="004D6B4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달간 신규/기기변경 및 요금제 변경 시 </w:t>
      </w:r>
      <w:r w:rsidR="004D6B47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 중 </w:t>
      </w:r>
      <w:r w:rsidR="004D6B47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 이상의 선택을 받을 정도로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큰 호응을 얻고 있다. 또한 6월 휴가철을 앞두고 선보인 '</w:t>
      </w:r>
      <w:proofErr w:type="spell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가족로밍</w:t>
      </w:r>
      <w:proofErr w:type="spell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'도 출시 한달 만에 3만 가구, 7만명이 혜택을 누렸다.</w:t>
      </w:r>
    </w:p>
    <w:p w14:paraId="739F35C9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DF4D57" w14:textId="157EAE68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기업가치 및 주주가치 제고 위한 주주환원 정책 추진하며 ESG 경영 </w:t>
      </w:r>
      <w:r w:rsidR="008D49CC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시행</w:t>
      </w:r>
    </w:p>
    <w:p w14:paraId="3AA6DD0B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011B72" w14:textId="3568E82E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SKT는 지난 7월 약 3천억원 규모의 자사주를 매입하고, 약 2천억원 규모의 자사주를 소각하기로 결정했다. 2천억원은 자사주 소각 발표일 기준 총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발행</w:t>
      </w:r>
      <w:r w:rsidR="004D6B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주식수의 약 2%에 해당한다.</w:t>
      </w:r>
      <w:r w:rsidR="00792CE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2023년 2분기 배당금을 주당 830원으로 확정</w:t>
      </w:r>
      <w:r w:rsidR="00792CE5">
        <w:rPr>
          <w:rFonts w:asciiTheme="majorHAnsi" w:eastAsiaTheme="majorHAnsi" w:hAnsiTheme="majorHAnsi" w:hint="eastAsia"/>
          <w:sz w:val="24"/>
          <w:szCs w:val="24"/>
          <w:lang w:eastAsia="ko-KR"/>
        </w:rPr>
        <w:t>하며 꾸준히</w:t>
      </w: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분기 배당을 지속하고 있다.</w:t>
      </w:r>
    </w:p>
    <w:p w14:paraId="5186E0B8" w14:textId="77777777" w:rsidR="0072591A" w:rsidRPr="00792CE5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67D9DF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SKT는 기업가치 및 주주가치 제고를 위해 다양한 방안의 주주환원 정책을 펼치고 있으며, 앞으로도 선진화된 주주환원 정책을 통해 ESG 경영을 시행할 예정이다.</w:t>
      </w:r>
    </w:p>
    <w:p w14:paraId="311E107C" w14:textId="77777777" w:rsidR="0072591A" w:rsidRPr="0072591A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3F24A5" w14:textId="4CE61107" w:rsidR="001B46BD" w:rsidRPr="00911B59" w:rsidRDefault="0072591A" w:rsidP="0072591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김진원 SKT CFO(최고 재무 책임자, 부사장)는 "SKT는 견고한 실적을 바탕으로 협력과 자강을 병행해 글로벌 AI 시장의 주도권을 확보하고 AI 컴퍼니로 </w:t>
      </w:r>
      <w:proofErr w:type="gramStart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>도약 할</w:t>
      </w:r>
      <w:proofErr w:type="gramEnd"/>
      <w:r w:rsidRPr="007259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것"이라며 "AI 컴퍼니로의 도약이 기업과 주주가치 극대화로 이어질 수 있도록 최선을 다하겠다"고 밝혔다.</w:t>
      </w:r>
    </w:p>
    <w:p w14:paraId="1264FD9A" w14:textId="77777777" w:rsidR="0072591A" w:rsidRDefault="0072591A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095D668" w14:textId="14EF7944" w:rsidR="00911B59" w:rsidRDefault="00911B59" w:rsidP="008C5DA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71B11F07" w14:textId="77777777" w:rsidR="0047253F" w:rsidRPr="0003329A" w:rsidRDefault="0047253F" w:rsidP="0047253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30038AB" w14:textId="77777777" w:rsidR="0047253F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6BAF375B" w14:textId="77777777" w:rsidR="009E021D" w:rsidRPr="0003329A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0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9E021D" w:rsidRPr="0003329A" w14:paraId="341028E6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EB9AF7" w14:textId="77777777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4C7C7" w14:textId="27B3653F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</w:t>
            </w:r>
            <w:r w:rsidR="00190BA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0F329" w14:textId="3647A72C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190BA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CD4BE2" w14:textId="24BA4AF1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4C45D" w14:textId="4FA6CD4E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90BA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3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190BA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4E0485" w14:textId="4680E919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F33432" w:rsidRPr="0003329A" w14:paraId="4318DB73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DD70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262" w14:textId="646A62F0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446" w14:textId="16E37B9F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2,899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D85" w14:textId="20BFC5CC" w:rsidR="00F33432" w:rsidRPr="0003329A" w:rsidRDefault="00136FFB" w:rsidP="00136FF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.4%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B14" w14:textId="30694252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3,722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076" w14:textId="3D770A32" w:rsidR="00F33432" w:rsidRPr="0003329A" w:rsidRDefault="0098094F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8094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.5%</w:t>
            </w:r>
          </w:p>
        </w:tc>
      </w:tr>
      <w:tr w:rsidR="00F33432" w:rsidRPr="0003329A" w14:paraId="25D6DDD9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78B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507" w14:textId="60628852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,634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CF7" w14:textId="300A4A05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706" w14:textId="24540311" w:rsidR="00F33432" w:rsidRPr="0003329A" w:rsidRDefault="0098094F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.8%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354" w14:textId="2907EF04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AFC" w14:textId="110B5A10" w:rsidR="00F33432" w:rsidRPr="0003329A" w:rsidRDefault="0098094F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8094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.4%</w:t>
            </w:r>
          </w:p>
        </w:tc>
      </w:tr>
      <w:tr w:rsidR="00F33432" w:rsidRPr="0003329A" w14:paraId="5372D5C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1AD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D80" w14:textId="3F14AAA6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,478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7AA" w14:textId="15C671B1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1D0" w14:textId="37058410" w:rsidR="00F33432" w:rsidRPr="0003329A" w:rsidRDefault="0098094F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4.8%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88B" w14:textId="074CD159" w:rsidR="00F33432" w:rsidRPr="0003329A" w:rsidRDefault="00136FFB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07C" w14:textId="46BFBBB1" w:rsidR="00F33432" w:rsidRPr="0003329A" w:rsidRDefault="0098094F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5%</w:t>
            </w:r>
          </w:p>
        </w:tc>
      </w:tr>
      <w:bookmarkEnd w:id="0"/>
    </w:tbl>
    <w:p w14:paraId="0961A20D" w14:textId="77777777" w:rsidR="009E021D" w:rsidRPr="00C46FAF" w:rsidRDefault="009E021D" w:rsidP="009E021D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019270C4" w14:textId="77777777" w:rsidR="009E021D" w:rsidRPr="0003329A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190BAB" w:rsidRPr="0003329A" w14:paraId="048ADFC3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FCD0D7" w14:textId="77777777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E4A672" w14:textId="24A1194F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23.2Q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D2164B" w14:textId="7439C72D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22.2Q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DFB88" w14:textId="3F54B438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978AC4" w14:textId="2498F6F3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34C83" w14:textId="7E421C07" w:rsidR="00190BAB" w:rsidRPr="0003329A" w:rsidRDefault="00190BAB" w:rsidP="00190BAB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9E021D" w:rsidRPr="0003329A" w14:paraId="201529B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8B8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37B" w14:textId="583E353D" w:rsidR="009E021D" w:rsidRPr="0003329A" w:rsidRDefault="00136FFB" w:rsidP="00136FF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A17" w14:textId="722E2D68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E58" w14:textId="3E3D7D39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5A" w14:textId="7090F520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F3A" w14:textId="235E5826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</w:tr>
      <w:tr w:rsidR="009E021D" w:rsidRPr="0003329A" w14:paraId="5EEFC491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C8E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lastRenderedPageBreak/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3F0" w14:textId="658D56C0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DCD" w14:textId="2DA6C707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,809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C41" w14:textId="6F76F481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8094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EF4" w14:textId="0418C0B1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B81" w14:textId="121329D6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8094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.8%</w:t>
            </w:r>
          </w:p>
        </w:tc>
      </w:tr>
      <w:tr w:rsidR="009E021D" w:rsidRPr="0003329A" w14:paraId="3FE83652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CB10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D3A" w14:textId="7A45EBAC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0CB" w14:textId="676F2336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D12" w14:textId="23167FC1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928" w14:textId="44A507B7" w:rsidR="009E021D" w:rsidRPr="0003329A" w:rsidRDefault="00136FFB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9C4" w14:textId="4A0E84E4" w:rsidR="009E021D" w:rsidRPr="0003329A" w:rsidRDefault="0098094F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8094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5.4%</w:t>
            </w:r>
          </w:p>
        </w:tc>
      </w:tr>
    </w:tbl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C7A5" w14:textId="77777777" w:rsidR="005B5596" w:rsidRDefault="005B5596">
      <w:pPr>
        <w:spacing w:after="0" w:line="240" w:lineRule="auto"/>
      </w:pPr>
      <w:r>
        <w:separator/>
      </w:r>
    </w:p>
  </w:endnote>
  <w:endnote w:type="continuationSeparator" w:id="0">
    <w:p w14:paraId="55259DDA" w14:textId="77777777" w:rsidR="005B5596" w:rsidRDefault="005B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A1AE" w14:textId="77777777" w:rsidR="005B5596" w:rsidRDefault="005B5596">
      <w:pPr>
        <w:spacing w:after="0" w:line="240" w:lineRule="auto"/>
      </w:pPr>
      <w:r>
        <w:separator/>
      </w:r>
    </w:p>
  </w:footnote>
  <w:footnote w:type="continuationSeparator" w:id="0">
    <w:p w14:paraId="7FD6F9A9" w14:textId="77777777" w:rsidR="005B5596" w:rsidRDefault="005B5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43622005">
    <w:abstractNumId w:val="1"/>
  </w:num>
  <w:num w:numId="2" w16cid:durableId="107169011">
    <w:abstractNumId w:val="3"/>
  </w:num>
  <w:num w:numId="3" w16cid:durableId="851721231">
    <w:abstractNumId w:val="10"/>
  </w:num>
  <w:num w:numId="4" w16cid:durableId="1086734379">
    <w:abstractNumId w:val="6"/>
  </w:num>
  <w:num w:numId="5" w16cid:durableId="1246912819">
    <w:abstractNumId w:val="5"/>
  </w:num>
  <w:num w:numId="6" w16cid:durableId="1048921377">
    <w:abstractNumId w:val="9"/>
  </w:num>
  <w:num w:numId="7" w16cid:durableId="631790854">
    <w:abstractNumId w:val="4"/>
  </w:num>
  <w:num w:numId="8" w16cid:durableId="1235317765">
    <w:abstractNumId w:val="7"/>
  </w:num>
  <w:num w:numId="9" w16cid:durableId="1092513094">
    <w:abstractNumId w:val="2"/>
  </w:num>
  <w:num w:numId="10" w16cid:durableId="414322160">
    <w:abstractNumId w:val="8"/>
  </w:num>
  <w:num w:numId="11" w16cid:durableId="18194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DAC"/>
    <w:rsid w:val="008C5F47"/>
    <w:rsid w:val="008C7E15"/>
    <w:rsid w:val="008D1898"/>
    <w:rsid w:val="008D27BA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66E8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49B1-4310-4F41-91D9-89E7FDDD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2026-01-14T07:49:00Z</dcterms:created>
  <dcterms:modified xsi:type="dcterms:W3CDTF">2026-01-14T07:49:00Z</dcterms:modified>
  <cp:version>0900.0001.01</cp:version>
</cp:coreProperties>
</file>