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7DBCF1" w14:textId="39056A2D" w:rsidR="00F7096D" w:rsidRPr="00A02E99" w:rsidRDefault="00837CBD" w:rsidP="00A02E99">
      <w:pPr>
        <w:pStyle w:val="ab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Pr="00837CB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퀀텀코리아 2023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’</w:t>
      </w:r>
      <w:r w:rsidR="00DD5D7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에</w:t>
      </w:r>
      <w:r w:rsidRPr="00837CB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서 양자 기술력 선</w:t>
      </w:r>
      <w:r w:rsidR="00DD5D7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보인다</w:t>
      </w:r>
    </w:p>
    <w:p w14:paraId="5B8EC00D" w14:textId="0C5340AB" w:rsidR="00A02E99" w:rsidRPr="00A02E99" w:rsidRDefault="00837CBD" w:rsidP="004D7C39">
      <w:pPr>
        <w:pStyle w:val="ab"/>
        <w:wordWrap w:val="0"/>
        <w:snapToGrid w:val="0"/>
        <w:spacing w:after="0" w:line="180" w:lineRule="atLeast"/>
        <w:jc w:val="center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837CBD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SKT, </w:t>
      </w:r>
      <w:r w:rsidR="0099063E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대한민국 </w:t>
      </w:r>
      <w:r w:rsidRPr="00837CBD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양자 중추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국가</w:t>
      </w:r>
      <w:r w:rsidR="000E3016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Pr="00837CBD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도약 선봉</w:t>
      </w:r>
      <w:r w:rsidR="0099063E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Pr="00837CBD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나선다</w:t>
      </w:r>
    </w:p>
    <w:p w14:paraId="5203B2EB" w14:textId="319497F5" w:rsidR="00A75E1E" w:rsidRDefault="00A75E1E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837CBD"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26일부터 29일까지 </w:t>
      </w:r>
      <w:r w:rsid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동대문</w:t>
      </w:r>
      <w:r w:rsidR="00DD5D7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D</w:t>
      </w:r>
      <w:r w:rsidR="00DD5D7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DP</w:t>
      </w:r>
      <w:r w:rsidR="00837CBD"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에서 열리는 '퀀텀코리아 2023' 참가</w:t>
      </w:r>
    </w:p>
    <w:p w14:paraId="4C6C84EB" w14:textId="26FA486D" w:rsidR="004D7C39" w:rsidRDefault="004D7C39" w:rsidP="00A23AE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837CBD"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양자암호통신부터 양자센싱까지 </w:t>
      </w:r>
      <w:r w:rsidR="0099063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2</w:t>
      </w:r>
      <w:r w:rsidR="0099063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011</w:t>
      </w:r>
      <w:r w:rsidR="0099063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년부터 </w:t>
      </w:r>
      <w:r w:rsidR="0099063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1</w:t>
      </w:r>
      <w:r w:rsidR="00DD5D7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3</w:t>
      </w:r>
      <w:r w:rsidR="00DD5D7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년간</w:t>
      </w:r>
      <w:r w:rsidR="0099063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쌓아온 </w:t>
      </w:r>
      <w:r w:rsidR="00837CBD"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양자 기술력 </w:t>
      </w:r>
      <w:r w:rsid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뽐내</w:t>
      </w:r>
    </w:p>
    <w:p w14:paraId="4B379CE9" w14:textId="1891D9FD" w:rsidR="00837CBD" w:rsidRDefault="00837CBD" w:rsidP="00A23AE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국가대표 양자 기업 SKT,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글로벌 무대에서 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표준화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작업부터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사업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화까지 진두지휘</w:t>
      </w:r>
    </w:p>
    <w:p w14:paraId="2CBDCDA5" w14:textId="22749726" w:rsidR="00837CBD" w:rsidRPr="00A23AED" w:rsidRDefault="00837CBD" w:rsidP="00837CB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국내 양자 생태계 조성 선도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하고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양자인터넷 등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차세대</w:t>
      </w:r>
      <w:r w:rsidRPr="00837CB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양자기술 개발 노력할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08233A7D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5125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41A3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25.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BB6494" w14:textId="14EA593F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26일부터 29일까지 서울 동대문디자인플라자(DDP)에서 </w:t>
      </w:r>
      <w:r w:rsidR="002E36A7"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'대한민국 미래를 향한 양자 도약(Quantum Jump Into the Future)'</w:t>
      </w:r>
      <w:r w:rsidR="002E36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E36A7"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열리는 '퀀텀</w:t>
      </w:r>
      <w:r w:rsidR="00620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 2023(Quantum Korea 2023)'에서 양자키분배기(QKD), 양자난수생성기(QRNG) 등 다양한 양자 기술을 선보인다.</w:t>
      </w:r>
    </w:p>
    <w:p w14:paraId="180E2B81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F7ABA" w14:textId="2EDBBBE0" w:rsidR="00764E43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64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</w:t>
      </w:r>
      <w:r w:rsidR="006F1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1FC0" w:rsidRPr="00990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참가기업 중</w:t>
      </w:r>
      <w:r w:rsidR="00764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가장 큰 규모의 전시관을 운영하며 </w:t>
      </w:r>
      <w:r w:rsidR="00764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‘Quantum to Everywhere(</w:t>
      </w:r>
      <w:r w:rsidR="00764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양자를 모든 곳에)</w:t>
      </w:r>
      <w:r w:rsidR="00764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’를 </w:t>
      </w:r>
      <w:r w:rsidR="00764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테마로</w:t>
      </w:r>
      <w:r w:rsidR="00764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13</w:t>
      </w:r>
      <w:r w:rsidR="00764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진행해 온 양자 기술과 사업화 성과를 소개한다.</w:t>
      </w:r>
      <w:r w:rsidR="00764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2A7AE01" w14:textId="5FBFA273" w:rsid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80CB0" w14:textId="1DECA1AE" w:rsidR="00764E43" w:rsidRDefault="003866A4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디스플레이를 </w:t>
      </w:r>
      <w:r w:rsidR="006F1FC0" w:rsidRPr="00990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진행해온 양자 관련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표준화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사업화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성과 등을 소개한다.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양자난수생성기 </w:t>
      </w:r>
      <w:r w:rsidR="00021FE5" w:rsidRP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센싱 등 양자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직접 보고 체험할 수 있는 체험관을 마련했다.</w:t>
      </w:r>
    </w:p>
    <w:p w14:paraId="5550F8B9" w14:textId="1E62ACFF" w:rsidR="00021FE5" w:rsidRDefault="00021FE5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9379AB" w14:textId="152EB72E" w:rsidR="00021FE5" w:rsidRDefault="006F1FC0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90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관람객은 양자키분배</w:t>
      </w:r>
      <w:r w:rsidR="007322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990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FE5" w:rsidRPr="00990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 구역에서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양자키분배기가 작아지고 가벼워지면서도 성능이 좋아지는 </w:t>
      </w:r>
      <w:r w:rsid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발전의 역사를</w:t>
      </w:r>
      <w:r w:rsid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시연을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한눈에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확인할 수 있다.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51354A2" w14:textId="31A2C715" w:rsidR="00021FE5" w:rsidRPr="003B4392" w:rsidRDefault="00021FE5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BC509D" w14:textId="14CC8EFB" w:rsidR="00021FE5" w:rsidRDefault="006F1FC0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 전시 구역에서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일상에 적용된 양자 기술을 관람할 수 있다.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방대한 정보가 오가는 스마트폰에 양자 기술을 적용해 보안성을 강화한 갤럭시 퀀텀폰과 향후 다양한 </w:t>
      </w:r>
      <w:r w:rsidR="00021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 </w:t>
      </w:r>
      <w:r w:rsidR="00021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기기에 탑재될 양자 기술이 적용된 암호칩을 만나볼 수 있다.</w:t>
      </w:r>
    </w:p>
    <w:p w14:paraId="11F9545D" w14:textId="2526325A" w:rsidR="00021FE5" w:rsidRDefault="00021FE5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673DF" w14:textId="5E5A51DB" w:rsidR="00021FE5" w:rsidRDefault="006F1FC0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B43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B4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0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기술을 직접 체험할 수 있는 전시도 준비했다.</w:t>
      </w:r>
      <w:r w:rsidR="009C0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0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빛이 차단된 암실에서</w:t>
      </w:r>
      <w:r w:rsidR="009C0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도 양자 센싱 기술이 적용된 라이다 기술로 사람을 인식하고</w:t>
      </w:r>
      <w:r w:rsidR="009C0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C0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화면을 사진으로 인화</w:t>
      </w:r>
      <w:r w:rsidR="007E5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</w:t>
      </w:r>
      <w:r w:rsidR="009C0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증정해 어렵게 느껴질 수 있는 양자 기술을 재미있는 체험을 통해 관람객에게 전달한다.</w:t>
      </w:r>
    </w:p>
    <w:p w14:paraId="49AE28B3" w14:textId="395C43B4" w:rsidR="009C0EAB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960066" w14:textId="28C99D18" w:rsidR="005C654A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하민용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C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C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C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5C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이상 꾸준히 양자 관련 기술 개발과 사업 성과를 창출해온 국가대표 양자 기업으로서,</w:t>
      </w:r>
      <w:r w:rsidR="005C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정부와 국내 생태계와 협력해 대한민국의 양자 대도약에 앞장설 것</w:t>
      </w:r>
      <w:r w:rsidR="005C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C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B51D381" w14:textId="77777777" w:rsidR="00764E43" w:rsidRDefault="00764E43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65FB88" w14:textId="400388B0" w:rsidR="00837CBD" w:rsidRPr="0099063E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35"/>
        <w:jc w:val="both"/>
        <w:rPr>
          <w:rFonts w:asciiTheme="majorHAnsi" w:eastAsiaTheme="majorHAnsi" w:hAnsiTheme="majorHAnsi" w:cs="Arial"/>
          <w:w w:val="98"/>
          <w:sz w:val="24"/>
          <w:szCs w:val="24"/>
          <w:lang w:eastAsia="ko-KR" w:bidi="ar-SA"/>
        </w:rPr>
      </w:pPr>
      <w:r w:rsidRPr="0099063E">
        <w:rPr>
          <w:rFonts w:asciiTheme="majorHAnsi" w:eastAsiaTheme="majorHAnsi" w:hAnsiTheme="majorHAnsi" w:cs="Arial" w:hint="eastAsia"/>
          <w:w w:val="98"/>
          <w:sz w:val="24"/>
          <w:szCs w:val="24"/>
          <w:lang w:eastAsia="ko-KR" w:bidi="ar-SA"/>
        </w:rPr>
        <w:t xml:space="preserve">■ </w:t>
      </w:r>
      <w:r w:rsidR="0099063E" w:rsidRPr="0099063E">
        <w:rPr>
          <w:rFonts w:ascii="맑은 고딕" w:hAnsi="맑은 고딕" w:cs="Arial" w:hint="eastAsia"/>
          <w:b/>
          <w:bCs/>
          <w:color w:val="000000" w:themeColor="text1"/>
          <w:spacing w:val="-4"/>
          <w:w w:val="98"/>
          <w:kern w:val="2"/>
          <w:sz w:val="24"/>
          <w:szCs w:val="24"/>
          <w:lang w:eastAsia="ko-KR"/>
        </w:rPr>
        <w:t>양자암호통신부터 양자센싱까지 2</w:t>
      </w:r>
      <w:r w:rsidR="0099063E" w:rsidRPr="0099063E">
        <w:rPr>
          <w:rFonts w:ascii="맑은 고딕" w:hAnsi="맑은 고딕" w:cs="Arial"/>
          <w:b/>
          <w:bCs/>
          <w:color w:val="000000" w:themeColor="text1"/>
          <w:spacing w:val="-4"/>
          <w:w w:val="98"/>
          <w:kern w:val="2"/>
          <w:sz w:val="24"/>
          <w:szCs w:val="24"/>
          <w:lang w:eastAsia="ko-KR"/>
        </w:rPr>
        <w:t>011</w:t>
      </w:r>
      <w:r w:rsidR="0099063E" w:rsidRPr="0099063E">
        <w:rPr>
          <w:rFonts w:ascii="맑은 고딕" w:hAnsi="맑은 고딕" w:cs="Arial" w:hint="eastAsia"/>
          <w:b/>
          <w:bCs/>
          <w:color w:val="000000" w:themeColor="text1"/>
          <w:spacing w:val="-4"/>
          <w:w w:val="98"/>
          <w:kern w:val="2"/>
          <w:sz w:val="24"/>
          <w:szCs w:val="24"/>
          <w:lang w:eastAsia="ko-KR"/>
        </w:rPr>
        <w:t xml:space="preserve">년부터 </w:t>
      </w:r>
      <w:r w:rsidR="0099063E" w:rsidRPr="0099063E">
        <w:rPr>
          <w:rFonts w:ascii="맑은 고딕" w:hAnsi="맑은 고딕" w:cs="Arial"/>
          <w:b/>
          <w:bCs/>
          <w:color w:val="000000" w:themeColor="text1"/>
          <w:spacing w:val="-4"/>
          <w:w w:val="98"/>
          <w:kern w:val="2"/>
          <w:sz w:val="24"/>
          <w:szCs w:val="24"/>
          <w:lang w:eastAsia="ko-KR"/>
        </w:rPr>
        <w:t>10</w:t>
      </w:r>
      <w:r w:rsidR="0099063E" w:rsidRPr="0099063E">
        <w:rPr>
          <w:rFonts w:ascii="맑은 고딕" w:hAnsi="맑은 고딕" w:cs="Arial" w:hint="eastAsia"/>
          <w:b/>
          <w:bCs/>
          <w:color w:val="000000" w:themeColor="text1"/>
          <w:spacing w:val="-4"/>
          <w:w w:val="98"/>
          <w:kern w:val="2"/>
          <w:sz w:val="24"/>
          <w:szCs w:val="24"/>
          <w:lang w:eastAsia="ko-KR"/>
        </w:rPr>
        <w:t>년 이상 쌓아온 양자 기술력 뽐내</w:t>
      </w:r>
    </w:p>
    <w:p w14:paraId="346F3A38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193775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2011년 양자기술연구소를 설립한 이래 13년간 꾸준히 양자 관련 연구를 선도해왔다. 2018년에는 세계 1위 양자보안기업 IDQ社를 인수, 사내 양자기술연구소를 IDQ로 통합해 꾸준히 양자 기술력을 함양해왔다.</w:t>
      </w:r>
    </w:p>
    <w:p w14:paraId="2471576D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33B4DC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양자키분배기, 양자난수생성기를 중심으로 양자암호통신 핵심 기술을 고도화해왔다. 2016년에는 세계 최초로 상용 LTE망에 양자키분배기를 활용해 양자암호통신 기술을 적용하는데 성공했다.</w:t>
      </w:r>
    </w:p>
    <w:p w14:paraId="79AE219A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4C0E4D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2019년에는 세계 최초로 5G 가입자 인증 서버에 양자난수생성기를 적용했으며, 전국 데이터 트래픽의 핵심 전송 구간인 서울 - 대전 구간에 양자키분배 기술을 연동해 5G 와 LTE 데이터 송수신 보안을 강화했다.</w:t>
      </w:r>
    </w:p>
    <w:p w14:paraId="08CD7578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039BC" w14:textId="66E0746D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'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'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개발해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양자산업을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확장하고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'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미세한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크기의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양자를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검출해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전기신호로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바꾸는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가스센싱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첨단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미세한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측정하는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기술에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광범위하게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68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보령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LNG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터미널에서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시설물의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유출을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실시간으로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파악할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가스센싱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실증했다</w:t>
      </w:r>
      <w:r w:rsidRPr="00837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853C387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0F0E6" w14:textId="0DA1B0F8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■ </w:t>
      </w:r>
      <w:r w:rsidRPr="00837CBD">
        <w:rPr>
          <w:rFonts w:ascii="맑은 고딕" w:hAnsi="맑은 고딕" w:cs="Arial" w:hint="eastAsia"/>
          <w:b/>
          <w:bCs/>
          <w:color w:val="000000" w:themeColor="text1"/>
          <w:spacing w:val="-4"/>
          <w:kern w:val="2"/>
          <w:sz w:val="24"/>
          <w:szCs w:val="24"/>
          <w:lang w:eastAsia="ko-KR"/>
        </w:rPr>
        <w:t>국가대표 양자 기업 SKT, 글로벌 무대에서 표준화 작업부터 사업화까지 진두지휘</w:t>
      </w:r>
    </w:p>
    <w:p w14:paraId="1DA6A61C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F5212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대한민국을 대표하는 양자 기업 SKT는 세계 무대에서도 양자 분야의 표준화 수립과 사업화 등에서 성과를 창출하고 있다. </w:t>
      </w:r>
    </w:p>
    <w:p w14:paraId="213C4479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1B97D2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권위있는 국제기구 ITU-T* 회의에서 양자암호통신 기술의 상용화 및 확산에 필수적인 다수의 국제 표준 수립을 주도했다. 특히 ITU-T 내 통신 보안 관련 전문 연구 조직 SG17(스터디그룹17)에서 실질적인 기술 개발에 필요한 표준 작업에 앞장서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고 있다. </w:t>
      </w:r>
    </w:p>
    <w:p w14:paraId="5D9C202A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* 전기통신 관련 세계 최고 국제기구인 ITU의 산하기관으로 통신 분야의 표준을 정함</w:t>
      </w:r>
    </w:p>
    <w:p w14:paraId="498AD309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CEC9B2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미국, 유럽, 싱가포르 등 글로벌 시장에서 양자암호통신 구축 사업을 잇따라 수주하는 쾌거를 이뤘다.</w:t>
      </w:r>
    </w:p>
    <w:p w14:paraId="586BA19C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23CFA4" w14:textId="3D8DD6A9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IDQ는 EU 산하 '양자 플래그십(Quantum Flagship)’ 조직이 추진하는 ‘OPEN QKD’ 프로젝트에 양자키분배기(QKD, Quantum Key Distributor) 1위 공급사로 참여했다. IDQ는 프로젝트에 참여하는 기업, 연구기관 중 가장 많은 구간에 양자키분배기를 공급하며 스위스 제네바, 독일 베를린, 스페인 마드리드, 오스트리아 비엔나 등 유럽 주요국의 14개 구간(1구간에 약 100Km)에 양자암호 시험망을 구축했다.</w:t>
      </w:r>
    </w:p>
    <w:p w14:paraId="5CE1849E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A98A86" w14:textId="0570DEA6" w:rsid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 SKT는 SK브로드밴드와 함께 미국, 일본, 싱가포르 등과 연결되는 국제망 구간에 양자내성암호(PQC)를 상용화했다. 양자키분배기와 양자난수생성기에 이어 양자내성암호로 양자암호 기술 영역을 확대했고 국내망에 이어 국제망으로 물리적 한계를 극복했다.</w:t>
      </w:r>
    </w:p>
    <w:p w14:paraId="561A4432" w14:textId="48B70D5A" w:rsidR="009C0EAB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8811B5" w14:textId="7DD7B485" w:rsidR="009C0EAB" w:rsidRPr="00837CBD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싱가포르의 통신사 싱텔과 협력해 싱가포르의 공공 분야에 양자암호통신 기술 적용을 추진하고 있다.</w:t>
      </w:r>
    </w:p>
    <w:p w14:paraId="4D340A73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DB3527" w14:textId="0053EA19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■ </w:t>
      </w:r>
      <w:r w:rsidRPr="00837CBD">
        <w:rPr>
          <w:rFonts w:ascii="맑은 고딕" w:hAnsi="맑은 고딕" w:cs="Arial" w:hint="eastAsia"/>
          <w:b/>
          <w:bCs/>
          <w:color w:val="000000" w:themeColor="text1"/>
          <w:spacing w:val="-4"/>
          <w:kern w:val="2"/>
          <w:sz w:val="24"/>
          <w:szCs w:val="24"/>
          <w:lang w:eastAsia="ko-KR"/>
        </w:rPr>
        <w:t>국내 양자 생태계 조성 선도하고 양자인터넷 등 차세대 양자기술 개발 노력할 것</w:t>
      </w:r>
    </w:p>
    <w:p w14:paraId="45C1A785" w14:textId="77777777" w:rsid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315C6" w14:textId="3AD9849F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국내 암호분야 강소기업들과 협력하며 국내 양자 생태계 조성을 선도하고 있다. 이를 필두로 국방, 공공 사업은 물론 글로벌 시장 진출에 도전할 계획이다.</w:t>
      </w:r>
    </w:p>
    <w:p w14:paraId="4CB72977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BEA096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국내 토종 보안기업 케이씨에스와 함께 개발한 양자난수생성 기능과 암호통신 기능을 통합해 제공하는 차세대 보안칩 '양자암호원칩'을 출시해 MWC23 현장에서 선보여 호평을 받았다. </w:t>
      </w:r>
    </w:p>
    <w:p w14:paraId="1123529E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252CC0" w14:textId="2F574174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'양자암호원칩'은 국내 암호칩 중에서 가낭 높은 보안등급을 받은 케이씨에스의 기존 칩에 양자난수생성</w:t>
      </w:r>
      <w:r w:rsidR="00AB36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 더한 강력한 보안이 장점이다. 또한 2개의 칩을 1개의 칩으로 통합해 경제적 효율과 탑재 편의성을 높여 IoT 기반의 다양한 제품과 장치에 활발히 적용될 것으로 기대된다.</w:t>
      </w:r>
    </w:p>
    <w:p w14:paraId="143281D1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AAEE03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5월에는 국내 네트워크 보안장비 회사 엑스게이트와 양자암호통신 기반 가상사설망(이하 VPN, Virtual Private Network) 기술 개발을 완료해 상용 서비스 출시를 </w:t>
      </w: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준비 중이다.</w:t>
      </w:r>
    </w:p>
    <w:p w14:paraId="6879E70B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2DF24E" w14:textId="43CD6D48" w:rsidR="009C0EAB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VPN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현존 최고 수준의 보안기술인 양자난수생성 기술을 적용해 양자 컴퓨팅에 의한 해킹 위험에 노출될 수 있는 기존 암호화 방식의 보안성을 대폭 개선했다.</w:t>
      </w:r>
    </w:p>
    <w:p w14:paraId="5378A589" w14:textId="77777777" w:rsidR="009C0EAB" w:rsidRDefault="009C0EAB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F765DF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 국내 보안시장의 시장 규모는 6조 7,195억원으로 2021년 대비 9% 성장했다. 2023년과 2024년에도 각각 4.8%, 3.8% 성장할 것으로 전망된다. 특히 양자암호통신 글로벌 시장 규모는 2022년 이후 연평균 39.8% 성장해 2030년에는 24조 5,793억원 규모로 빠르게 성장할 것으로 기대된다.</w:t>
      </w:r>
    </w:p>
    <w:p w14:paraId="0C0C0524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(출처 : 2023 국내외 보안시장 전망 보고서 / 2022 양자정보기술 백서)</w:t>
      </w:r>
    </w:p>
    <w:p w14:paraId="442DE38F" w14:textId="77777777" w:rsidR="00837CBD" w:rsidRPr="00837CBD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4AE610" w14:textId="543FAC1D" w:rsidR="00A5125F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국내 강소 기업들과 협력해 건전한 양자 생태계를 조성하는 한편, 양자인터넷 등 선도적인 양자기술 개발에도 앞장 설 계획이다.</w:t>
      </w:r>
    </w:p>
    <w:p w14:paraId="29BAAB27" w14:textId="77777777" w:rsidR="00837CBD" w:rsidRPr="009159E6" w:rsidRDefault="00837CBD" w:rsidP="00837C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3463B" w14:paraId="20172F84" w14:textId="77777777" w:rsidTr="0043463B">
        <w:trPr>
          <w:trHeight w:val="1870"/>
        </w:trPr>
        <w:tc>
          <w:tcPr>
            <w:tcW w:w="9395" w:type="dxa"/>
            <w:vAlign w:val="center"/>
          </w:tcPr>
          <w:p w14:paraId="4AAE0245" w14:textId="77777777" w:rsidR="0043463B" w:rsidRPr="00837CBD" w:rsidRDefault="0043463B" w:rsidP="00837CB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CB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※</w:t>
            </w:r>
            <w:r w:rsidRPr="00837C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1389949E" w14:textId="5A8F17D0" w:rsidR="008F0D02" w:rsidRPr="00837CBD" w:rsidRDefault="00837CBD" w:rsidP="009C0EA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C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SK텔레콤이 26일부터 29일까지 서울 동대문디자인플라자(DDP)에서 열리는 '퀀텀코리아 2023(Quantum Korea 2023)'에서 양자키분배기(QKD), 양자난수생성기(QRNG) 등 다양한 양자 기술을 선보인다.</w:t>
            </w:r>
            <w:r w:rsidR="009C0E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C0E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9C0E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9C0E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전시관의 조감도다.</w:t>
            </w:r>
          </w:p>
        </w:tc>
      </w:tr>
    </w:tbl>
    <w:p w14:paraId="54F7407D" w14:textId="2411D7E6" w:rsidR="00FC1EED" w:rsidRDefault="00FC1EED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F2E45FD" w14:textId="77777777" w:rsidR="0043463B" w:rsidRPr="002146A1" w:rsidRDefault="0043463B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9200" w14:textId="77777777" w:rsidR="004F7D34" w:rsidRDefault="004F7D34">
      <w:pPr>
        <w:spacing w:after="0" w:line="240" w:lineRule="auto"/>
      </w:pPr>
      <w:r>
        <w:separator/>
      </w:r>
    </w:p>
  </w:endnote>
  <w:endnote w:type="continuationSeparator" w:id="0">
    <w:p w14:paraId="4828A72C" w14:textId="77777777" w:rsidR="004F7D34" w:rsidRDefault="004F7D34">
      <w:pPr>
        <w:spacing w:after="0" w:line="240" w:lineRule="auto"/>
      </w:pPr>
      <w:r>
        <w:continuationSeparator/>
      </w:r>
    </w:p>
  </w:endnote>
  <w:endnote w:type="continuationNotice" w:id="1">
    <w:p w14:paraId="169AAEF3" w14:textId="77777777" w:rsidR="004F7D34" w:rsidRDefault="004F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D5B15" w:rsidRDefault="009D5B1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7AD1506E">
          <wp:simplePos x="0" y="0"/>
          <wp:positionH relativeFrom="margin">
            <wp:posOffset>5606415</wp:posOffset>
          </wp:positionH>
          <wp:positionV relativeFrom="paragraph">
            <wp:posOffset>33655</wp:posOffset>
          </wp:positionV>
          <wp:extent cx="429260" cy="121285"/>
          <wp:effectExtent l="0" t="0" r="8890" b="0"/>
          <wp:wrapThrough wrapText="bothSides">
            <wp:wrapPolygon edited="0">
              <wp:start x="0" y="0"/>
              <wp:lineTo x="0" y="16963"/>
              <wp:lineTo x="21089" y="16963"/>
              <wp:lineTo x="21089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12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EF8D" w14:textId="77777777" w:rsidR="004F7D34" w:rsidRDefault="004F7D34">
      <w:pPr>
        <w:spacing w:after="0" w:line="240" w:lineRule="auto"/>
      </w:pPr>
      <w:r>
        <w:separator/>
      </w:r>
    </w:p>
  </w:footnote>
  <w:footnote w:type="continuationSeparator" w:id="0">
    <w:p w14:paraId="46DA39F9" w14:textId="77777777" w:rsidR="004F7D34" w:rsidRDefault="004F7D34">
      <w:pPr>
        <w:spacing w:after="0" w:line="240" w:lineRule="auto"/>
      </w:pPr>
      <w:r>
        <w:continuationSeparator/>
      </w:r>
    </w:p>
  </w:footnote>
  <w:footnote w:type="continuationNotice" w:id="1">
    <w:p w14:paraId="32A2FC2A" w14:textId="77777777" w:rsidR="004F7D34" w:rsidRDefault="004F7D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10962064">
    <w:abstractNumId w:val="0"/>
  </w:num>
  <w:num w:numId="2" w16cid:durableId="1662076603">
    <w:abstractNumId w:val="1"/>
  </w:num>
  <w:num w:numId="3" w16cid:durableId="1465270061">
    <w:abstractNumId w:val="8"/>
  </w:num>
  <w:num w:numId="4" w16cid:durableId="182943062">
    <w:abstractNumId w:val="4"/>
  </w:num>
  <w:num w:numId="5" w16cid:durableId="2133135012">
    <w:abstractNumId w:val="3"/>
  </w:num>
  <w:num w:numId="6" w16cid:durableId="894270139">
    <w:abstractNumId w:val="6"/>
  </w:num>
  <w:num w:numId="7" w16cid:durableId="1947227435">
    <w:abstractNumId w:val="2"/>
  </w:num>
  <w:num w:numId="8" w16cid:durableId="513694567">
    <w:abstractNumId w:val="5"/>
  </w:num>
  <w:num w:numId="9" w16cid:durableId="309096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1FE5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7076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70826"/>
    <w:rsid w:val="000710B4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0882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016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E29"/>
    <w:rsid w:val="00115991"/>
    <w:rsid w:val="00115BD7"/>
    <w:rsid w:val="00115DB6"/>
    <w:rsid w:val="00115DD0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24E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6B7E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782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CF2"/>
    <w:rsid w:val="00213915"/>
    <w:rsid w:val="00213D5F"/>
    <w:rsid w:val="002140C1"/>
    <w:rsid w:val="002146A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220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1B3B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160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A1"/>
    <w:rsid w:val="002C2829"/>
    <w:rsid w:val="002C2A6F"/>
    <w:rsid w:val="002C3187"/>
    <w:rsid w:val="002C34E8"/>
    <w:rsid w:val="002C3960"/>
    <w:rsid w:val="002C3B90"/>
    <w:rsid w:val="002C41B8"/>
    <w:rsid w:val="002C41EB"/>
    <w:rsid w:val="002C5DF1"/>
    <w:rsid w:val="002C799C"/>
    <w:rsid w:val="002D03E0"/>
    <w:rsid w:val="002D09D1"/>
    <w:rsid w:val="002D0C23"/>
    <w:rsid w:val="002D1550"/>
    <w:rsid w:val="002D210D"/>
    <w:rsid w:val="002D3A21"/>
    <w:rsid w:val="002D50CB"/>
    <w:rsid w:val="002D58BB"/>
    <w:rsid w:val="002D59D9"/>
    <w:rsid w:val="002D5C8B"/>
    <w:rsid w:val="002D6EC4"/>
    <w:rsid w:val="002D78C9"/>
    <w:rsid w:val="002E2480"/>
    <w:rsid w:val="002E2633"/>
    <w:rsid w:val="002E26F5"/>
    <w:rsid w:val="002E2EB3"/>
    <w:rsid w:val="002E34DC"/>
    <w:rsid w:val="002E36A7"/>
    <w:rsid w:val="002E3890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8F3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1B4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3EDD"/>
    <w:rsid w:val="00354124"/>
    <w:rsid w:val="003545EB"/>
    <w:rsid w:val="00354CD7"/>
    <w:rsid w:val="00355630"/>
    <w:rsid w:val="00355D8F"/>
    <w:rsid w:val="00355ED9"/>
    <w:rsid w:val="003576C0"/>
    <w:rsid w:val="0036030E"/>
    <w:rsid w:val="003605EB"/>
    <w:rsid w:val="00360E83"/>
    <w:rsid w:val="00360F71"/>
    <w:rsid w:val="003620DF"/>
    <w:rsid w:val="00362200"/>
    <w:rsid w:val="00362E34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1E92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D7C"/>
    <w:rsid w:val="003866A4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392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D741C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C23"/>
    <w:rsid w:val="0043402C"/>
    <w:rsid w:val="0043463B"/>
    <w:rsid w:val="00434C2B"/>
    <w:rsid w:val="00435EA0"/>
    <w:rsid w:val="0043746A"/>
    <w:rsid w:val="004375E2"/>
    <w:rsid w:val="00437874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1EE"/>
    <w:rsid w:val="00471E20"/>
    <w:rsid w:val="00472676"/>
    <w:rsid w:val="00473768"/>
    <w:rsid w:val="004750D5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DDB"/>
    <w:rsid w:val="0048586C"/>
    <w:rsid w:val="00485FFF"/>
    <w:rsid w:val="0048672A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C39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102"/>
    <w:rsid w:val="004F7AFF"/>
    <w:rsid w:val="004F7D34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37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3AE0"/>
    <w:rsid w:val="00553C3E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DD7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7ED"/>
    <w:rsid w:val="00596DEF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4A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500A"/>
    <w:rsid w:val="005E5787"/>
    <w:rsid w:val="005E5A8D"/>
    <w:rsid w:val="005E602A"/>
    <w:rsid w:val="005E62A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0D36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24F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5922"/>
    <w:rsid w:val="00646A0A"/>
    <w:rsid w:val="00651A58"/>
    <w:rsid w:val="00652DA6"/>
    <w:rsid w:val="00652E1D"/>
    <w:rsid w:val="0065311A"/>
    <w:rsid w:val="00653D06"/>
    <w:rsid w:val="00653DE0"/>
    <w:rsid w:val="00653E9D"/>
    <w:rsid w:val="00654A05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6806"/>
    <w:rsid w:val="00687A40"/>
    <w:rsid w:val="00687EF3"/>
    <w:rsid w:val="00690401"/>
    <w:rsid w:val="00690AEF"/>
    <w:rsid w:val="00691515"/>
    <w:rsid w:val="006919DC"/>
    <w:rsid w:val="0069413A"/>
    <w:rsid w:val="00694CBF"/>
    <w:rsid w:val="00695758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1FC0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11F6"/>
    <w:rsid w:val="00702063"/>
    <w:rsid w:val="00702137"/>
    <w:rsid w:val="00702A19"/>
    <w:rsid w:val="00702C9D"/>
    <w:rsid w:val="00703981"/>
    <w:rsid w:val="007047FF"/>
    <w:rsid w:val="007057DC"/>
    <w:rsid w:val="007069AC"/>
    <w:rsid w:val="007079B8"/>
    <w:rsid w:val="00707B07"/>
    <w:rsid w:val="00707C33"/>
    <w:rsid w:val="00710A57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30B2F"/>
    <w:rsid w:val="00730FA7"/>
    <w:rsid w:val="00732181"/>
    <w:rsid w:val="007322B3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4E43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8719B"/>
    <w:rsid w:val="00790D3F"/>
    <w:rsid w:val="007914D9"/>
    <w:rsid w:val="00791D1A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5FEB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BEE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F83"/>
    <w:rsid w:val="00823621"/>
    <w:rsid w:val="00824868"/>
    <w:rsid w:val="008252D9"/>
    <w:rsid w:val="00825B6B"/>
    <w:rsid w:val="00825BE4"/>
    <w:rsid w:val="0082618B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37CBD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129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30A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1895"/>
    <w:rsid w:val="008A2D6E"/>
    <w:rsid w:val="008A3EE0"/>
    <w:rsid w:val="008A479F"/>
    <w:rsid w:val="008A5489"/>
    <w:rsid w:val="008A5DA3"/>
    <w:rsid w:val="008A61FD"/>
    <w:rsid w:val="008A676B"/>
    <w:rsid w:val="008B029F"/>
    <w:rsid w:val="008B08EC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207"/>
    <w:rsid w:val="008F0B40"/>
    <w:rsid w:val="008F0D02"/>
    <w:rsid w:val="008F1B36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5C3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AD4"/>
    <w:rsid w:val="0099063E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70F8"/>
    <w:rsid w:val="009A72D2"/>
    <w:rsid w:val="009A74C6"/>
    <w:rsid w:val="009A7838"/>
    <w:rsid w:val="009A79BD"/>
    <w:rsid w:val="009A7DDC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5A0"/>
    <w:rsid w:val="009B65EA"/>
    <w:rsid w:val="009B7475"/>
    <w:rsid w:val="009C0EAB"/>
    <w:rsid w:val="009C214E"/>
    <w:rsid w:val="009C232A"/>
    <w:rsid w:val="009C25C2"/>
    <w:rsid w:val="009C301E"/>
    <w:rsid w:val="009C5463"/>
    <w:rsid w:val="009C65F2"/>
    <w:rsid w:val="009C6DF9"/>
    <w:rsid w:val="009C7BBB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2E9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3AED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075B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25F"/>
    <w:rsid w:val="00A51315"/>
    <w:rsid w:val="00A524F2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027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5E1E"/>
    <w:rsid w:val="00A76261"/>
    <w:rsid w:val="00A76284"/>
    <w:rsid w:val="00A763D7"/>
    <w:rsid w:val="00A807DE"/>
    <w:rsid w:val="00A81431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6C7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934"/>
    <w:rsid w:val="00B00A1D"/>
    <w:rsid w:val="00B0103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1E8D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E1F"/>
    <w:rsid w:val="00B55F8D"/>
    <w:rsid w:val="00B56065"/>
    <w:rsid w:val="00B560DA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6133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BE6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6D6"/>
    <w:rsid w:val="00BF3A4F"/>
    <w:rsid w:val="00BF3CC2"/>
    <w:rsid w:val="00BF4411"/>
    <w:rsid w:val="00BF46A0"/>
    <w:rsid w:val="00BF4BD2"/>
    <w:rsid w:val="00BF5065"/>
    <w:rsid w:val="00BF50B5"/>
    <w:rsid w:val="00BF5B0E"/>
    <w:rsid w:val="00BF5FEF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078B3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7CC"/>
    <w:rsid w:val="00C45B53"/>
    <w:rsid w:val="00C464B2"/>
    <w:rsid w:val="00C4697A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A7CE3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96F"/>
    <w:rsid w:val="00CF5C27"/>
    <w:rsid w:val="00CF65CD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B9F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D7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F5F"/>
    <w:rsid w:val="00E10516"/>
    <w:rsid w:val="00E107B8"/>
    <w:rsid w:val="00E10BA8"/>
    <w:rsid w:val="00E112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2C0"/>
    <w:rsid w:val="00E315C7"/>
    <w:rsid w:val="00E32163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728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657"/>
    <w:rsid w:val="00EB599A"/>
    <w:rsid w:val="00EB6A85"/>
    <w:rsid w:val="00EB7474"/>
    <w:rsid w:val="00EB79ED"/>
    <w:rsid w:val="00EC043B"/>
    <w:rsid w:val="00EC0721"/>
    <w:rsid w:val="00EC1A00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E7BF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31E0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1DF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0A66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978"/>
    <w:rsid w:val="00F56A87"/>
    <w:rsid w:val="00F56CFA"/>
    <w:rsid w:val="00F577EF"/>
    <w:rsid w:val="00F607FD"/>
    <w:rsid w:val="00F60C0A"/>
    <w:rsid w:val="00F632A5"/>
    <w:rsid w:val="00F63C3D"/>
    <w:rsid w:val="00F64C0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83106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A95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238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3A0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19733-34B1-4683-93CF-40A91BE2B7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2026-01-14T02:58:00Z</dcterms:created>
  <dcterms:modified xsi:type="dcterms:W3CDTF">2026-01-14T02:58:00Z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