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9E607" w14:textId="77777777" w:rsidR="00F5735A" w:rsidRDefault="00F5735A" w:rsidP="00F5735A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F5735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SK텔레콤, 2023년 1분기 실적발표</w:t>
      </w:r>
    </w:p>
    <w:p w14:paraId="571B869A" w14:textId="5782D41A" w:rsidR="00136CF6" w:rsidRDefault="00B4042B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E74A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연결 기준 </w:t>
      </w:r>
      <w:r w:rsidR="00F5735A" w:rsidRPr="00F5735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매출 4조 3,722억원, 영업이익 4,948억원, 순이익 3,025억원</w:t>
      </w:r>
    </w:p>
    <w:p w14:paraId="26A88476" w14:textId="2C99E955" w:rsidR="000505EB" w:rsidRPr="0047253F" w:rsidRDefault="000505EB" w:rsidP="000505EB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AI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컴퍼니 전환 </w:t>
      </w:r>
      <w:r w:rsidR="008F667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지속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추진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… </w:t>
      </w:r>
      <w:r w:rsidR="002C524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글로벌 톱</w:t>
      </w:r>
      <w:r w:rsidR="002C5247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2C524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수준 </w:t>
      </w:r>
      <w:r w:rsidR="002C5247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AI </w:t>
      </w:r>
      <w:r w:rsidR="002C524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기업과도 협력 </w:t>
      </w:r>
      <w:proofErr w:type="gramStart"/>
      <w:r w:rsidR="007B73C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강화 </w:t>
      </w:r>
      <w:r w:rsidR="002C524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할</w:t>
      </w:r>
      <w:proofErr w:type="gramEnd"/>
      <w:r w:rsidR="002C524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것</w:t>
      </w:r>
    </w:p>
    <w:p w14:paraId="5588AB56" w14:textId="2F16A3B6" w:rsidR="00D01149" w:rsidRPr="00ED618C" w:rsidRDefault="00D01149" w:rsidP="00F5735A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미디어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,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엔터프라이즈 매출 각각 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10</w:t>
      </w:r>
      <w:r w:rsidR="001E008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.2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%, 5.8%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증가하</w:t>
      </w:r>
      <w:r w:rsidR="00ED618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는 등 신사업 성장</w:t>
      </w:r>
      <w:r w:rsidR="00F1320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지속</w:t>
      </w:r>
    </w:p>
    <w:p w14:paraId="23085C35" w14:textId="681B42CC" w:rsidR="007D1631" w:rsidRDefault="00136CF6" w:rsidP="00F5735A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C508F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T우주</w:t>
      </w:r>
      <w:r w:rsidR="00E4672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,</w:t>
      </w:r>
      <w:r w:rsidR="00C508F7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C508F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국내 대표 구독 서비스로 안착</w:t>
      </w:r>
      <w:r w:rsidR="00C508F7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… </w:t>
      </w:r>
      <w:proofErr w:type="spellStart"/>
      <w:r w:rsidR="00E4672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이프랜드</w:t>
      </w:r>
      <w:r w:rsidR="00C508F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도</w:t>
      </w:r>
      <w:proofErr w:type="spellEnd"/>
      <w:r w:rsidR="00C508F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글로벌 시장서 성과 창출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1195C8E" w14:textId="77777777" w:rsidR="00EB6134" w:rsidRDefault="008B580C" w:rsidP="00D9149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  <w:r w:rsidR="00413649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</w:p>
          <w:p w14:paraId="65006830" w14:textId="77777777" w:rsidR="00EE19F6" w:rsidRDefault="00EE19F6" w:rsidP="00EE19F6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color w:val="666666"/>
                <w:lang w:eastAsia="ko-KR" w:bidi="ar-SA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※ 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컨퍼런스콜은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 금일 1</w:t>
            </w:r>
            <w:r>
              <w:rPr>
                <w:rFonts w:ascii="맑은 고딕" w:eastAsia="맑은 고딕" w:hAnsi="맑은 고딕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5</w:t>
            </w:r>
            <w:r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시 예정이며, 아래 URL 통해 청취 가능합니다.</w:t>
            </w:r>
          </w:p>
          <w:p w14:paraId="5BA9D78C" w14:textId="46C97DD8" w:rsidR="00EE19F6" w:rsidRDefault="00EE19F6" w:rsidP="00EE19F6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맑은 고딕" w:eastAsia="맑은 고딕" w:hAnsi="맑은 고딕"/>
                <w:b/>
                <w:bCs/>
                <w:color w:val="666666"/>
                <w:sz w:val="26"/>
                <w:szCs w:val="26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6"/>
                <w:sz w:val="26"/>
                <w:szCs w:val="26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6"/>
                <w:sz w:val="26"/>
                <w:szCs w:val="26"/>
              </w:rPr>
              <w:t>국문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6"/>
                <w:sz w:val="26"/>
                <w:szCs w:val="26"/>
              </w:rPr>
              <w:t>) </w:t>
            </w:r>
            <w:r w:rsidRPr="00EE19F6">
              <w:rPr>
                <w:rFonts w:ascii="맑은 고딕" w:eastAsia="맑은 고딕" w:hAnsi="맑은 고딕"/>
                <w:b/>
                <w:bCs/>
                <w:color w:val="000000"/>
                <w:spacing w:val="-6"/>
                <w:sz w:val="26"/>
                <w:szCs w:val="26"/>
              </w:rPr>
              <w:t>https://irsvc.teletogether.com/skt/skt202</w:t>
            </w:r>
            <w:r w:rsidR="00F5735A">
              <w:rPr>
                <w:rFonts w:ascii="맑은 고딕" w:eastAsia="맑은 고딕" w:hAnsi="맑은 고딕"/>
                <w:b/>
                <w:bCs/>
                <w:color w:val="000000"/>
                <w:spacing w:val="-6"/>
                <w:sz w:val="26"/>
                <w:szCs w:val="26"/>
              </w:rPr>
              <w:t>3</w:t>
            </w:r>
            <w:r w:rsidRPr="00EE19F6">
              <w:rPr>
                <w:rFonts w:ascii="맑은 고딕" w:eastAsia="맑은 고딕" w:hAnsi="맑은 고딕"/>
                <w:b/>
                <w:bCs/>
                <w:color w:val="000000"/>
                <w:spacing w:val="-6"/>
                <w:sz w:val="26"/>
                <w:szCs w:val="26"/>
              </w:rPr>
              <w:t>Q</w:t>
            </w:r>
            <w:r w:rsidR="00F5735A">
              <w:rPr>
                <w:rFonts w:ascii="맑은 고딕" w:eastAsia="맑은 고딕" w:hAnsi="맑은 고딕"/>
                <w:b/>
                <w:bCs/>
                <w:color w:val="000000"/>
                <w:spacing w:val="-6"/>
                <w:sz w:val="26"/>
                <w:szCs w:val="26"/>
              </w:rPr>
              <w:t>1</w:t>
            </w:r>
            <w:r w:rsidRPr="00EE19F6">
              <w:rPr>
                <w:rFonts w:ascii="맑은 고딕" w:eastAsia="맑은 고딕" w:hAnsi="맑은 고딕"/>
                <w:b/>
                <w:bCs/>
                <w:color w:val="000000"/>
                <w:spacing w:val="-6"/>
                <w:sz w:val="26"/>
                <w:szCs w:val="26"/>
              </w:rPr>
              <w:t>_kor.php</w:t>
            </w:r>
          </w:p>
          <w:p w14:paraId="506BC08A" w14:textId="20B43F6B" w:rsidR="00EE19F6" w:rsidRPr="00D91495" w:rsidRDefault="00EE19F6" w:rsidP="00EE19F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>(영문)</w:t>
            </w:r>
            <w:r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  <w:r w:rsidRPr="00EE19F6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>https://irsvc.teletogether.com/skt/skt202</w:t>
            </w:r>
            <w:r w:rsidR="00F5735A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>3</w:t>
            </w:r>
            <w:r w:rsidRPr="00EE19F6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>Q</w:t>
            </w:r>
            <w:r w:rsidR="00F5735A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>1</w:t>
            </w:r>
            <w:r w:rsidRPr="00EE19F6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>_eng.php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C6B27EF" w14:textId="77777777" w:rsidR="00176CA9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1C8115B9" w:rsidR="004A65BC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7253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5735A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5735A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086386C" w14:textId="00ED15C4" w:rsidR="00F5735A" w:rsidRPr="00F5735A" w:rsidRDefault="00F5735A" w:rsidP="00F5735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>SK텔레콤(대표이사 사장 유영상, www.sktelecom.com)이 연결 재무제표 기준 2023년 1분기 매출 4조 3,7</w:t>
      </w:r>
      <w:r w:rsidR="003864DC"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>2억원, 영업이익 4,948억원, 순이익 3,025억원을 기록했다고 10일 밝혔다.</w:t>
      </w:r>
    </w:p>
    <w:p w14:paraId="282F480D" w14:textId="77777777" w:rsidR="00F5735A" w:rsidRPr="00F5735A" w:rsidRDefault="00F5735A" w:rsidP="00F5735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AA6717F" w14:textId="3981866B" w:rsidR="008F118D" w:rsidRPr="00F5735A" w:rsidRDefault="008F118D" w:rsidP="008F118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올해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분기 주요 사업 영역에서 성장을 </w:t>
      </w:r>
      <w:r w:rsidR="00653144">
        <w:rPr>
          <w:rFonts w:asciiTheme="majorHAnsi" w:eastAsiaTheme="majorHAnsi" w:hAnsiTheme="majorHAnsi" w:hint="eastAsia"/>
          <w:sz w:val="24"/>
          <w:szCs w:val="24"/>
          <w:lang w:eastAsia="ko-KR"/>
        </w:rPr>
        <w:t>지속하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며 </w:t>
      </w: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>전년 동기 대비 연결 기준 매출과 영업이익</w:t>
      </w:r>
      <w:r w:rsidR="00653144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각각 2.2%, 14.4% 증가했다.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미디어와 엔터프라이즈 등 신사업 영역의 매출이 각각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10</w:t>
      </w:r>
      <w:r w:rsidR="001E0080">
        <w:rPr>
          <w:rFonts w:asciiTheme="majorHAnsi" w:eastAsiaTheme="majorHAnsi" w:hAnsiTheme="majorHAnsi"/>
          <w:sz w:val="24"/>
          <w:szCs w:val="24"/>
          <w:lang w:eastAsia="ko-KR"/>
        </w:rPr>
        <w:t>.2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%, 5</w:t>
      </w:r>
      <w:r w:rsidR="003864DC">
        <w:rPr>
          <w:rFonts w:asciiTheme="majorHAnsi" w:eastAsiaTheme="majorHAnsi" w:hAnsiTheme="majorHAnsi"/>
          <w:sz w:val="24"/>
          <w:szCs w:val="24"/>
          <w:lang w:eastAsia="ko-KR"/>
        </w:rPr>
        <w:t>.8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%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증가했다.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>순이익은 투자회사 배당수익 확대 등에 따라 전년 동기 대비 37.3% 증가했다.</w:t>
      </w:r>
    </w:p>
    <w:p w14:paraId="4A01A44F" w14:textId="77777777" w:rsidR="00F5735A" w:rsidRPr="00F5735A" w:rsidRDefault="00F5735A" w:rsidP="00F5735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C09553F" w14:textId="094B7638" w:rsidR="00F5735A" w:rsidRPr="00F5735A" w:rsidRDefault="00F5735A" w:rsidP="00F5735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별도 재무제표 기준 2023년 1분기 매출 3조 1,173억원, 영업이익 4,157억원을 기록하며 전년 동기 대비 각각 1.3%, </w:t>
      </w:r>
      <w:r w:rsidR="009B3728">
        <w:rPr>
          <w:rFonts w:asciiTheme="majorHAnsi" w:eastAsiaTheme="majorHAnsi" w:hAnsiTheme="majorHAnsi"/>
          <w:sz w:val="24"/>
          <w:szCs w:val="24"/>
          <w:lang w:eastAsia="ko-KR"/>
        </w:rPr>
        <w:t>16</w:t>
      </w: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 w:rsidR="009B3728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% 성장했다. </w:t>
      </w:r>
    </w:p>
    <w:p w14:paraId="4D1836F7" w14:textId="77777777" w:rsidR="00F5735A" w:rsidRPr="00F5735A" w:rsidRDefault="00F5735A" w:rsidP="00F5735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5017CD8" w14:textId="23F1E7B6" w:rsidR="00F5735A" w:rsidRPr="00F5735A" w:rsidRDefault="00F5735A" w:rsidP="00F5735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>SK</w:t>
      </w:r>
      <w:r w:rsidR="00B6303E">
        <w:rPr>
          <w:rFonts w:asciiTheme="majorHAnsi" w:eastAsiaTheme="majorHAnsi" w:hAnsiTheme="majorHAnsi" w:hint="eastAsia"/>
          <w:sz w:val="24"/>
          <w:szCs w:val="24"/>
          <w:lang w:eastAsia="ko-KR"/>
        </w:rPr>
        <w:t>브로드밴드(</w:t>
      </w:r>
      <w:r w:rsidR="00B6303E">
        <w:rPr>
          <w:rFonts w:asciiTheme="majorHAnsi" w:eastAsiaTheme="majorHAnsi" w:hAnsiTheme="majorHAnsi"/>
          <w:sz w:val="24"/>
          <w:szCs w:val="24"/>
          <w:lang w:eastAsia="ko-KR"/>
        </w:rPr>
        <w:t>SKB)</w:t>
      </w: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전년 </w:t>
      </w:r>
      <w:r w:rsidR="00F334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동기 </w:t>
      </w: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>대비</w:t>
      </w:r>
      <w:r w:rsidR="00F33432">
        <w:rPr>
          <w:rFonts w:asciiTheme="majorHAnsi" w:eastAsiaTheme="majorHAnsi" w:hAnsiTheme="majorHAnsi"/>
          <w:sz w:val="24"/>
          <w:szCs w:val="24"/>
          <w:lang w:eastAsia="ko-KR"/>
        </w:rPr>
        <w:t xml:space="preserve"> 3.5% </w:t>
      </w:r>
      <w:r w:rsidR="00F334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증가한 매출 </w:t>
      </w:r>
      <w:r w:rsidR="00F33432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F334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조 </w:t>
      </w:r>
      <w:r w:rsidR="00F33432">
        <w:rPr>
          <w:rFonts w:asciiTheme="majorHAnsi" w:eastAsiaTheme="majorHAnsi" w:hAnsiTheme="majorHAnsi"/>
          <w:sz w:val="24"/>
          <w:szCs w:val="24"/>
          <w:lang w:eastAsia="ko-KR"/>
        </w:rPr>
        <w:t>6</w:t>
      </w:r>
      <w:r w:rsidR="001E0080">
        <w:rPr>
          <w:rFonts w:asciiTheme="majorHAnsi" w:eastAsiaTheme="majorHAnsi" w:hAnsiTheme="majorHAnsi"/>
          <w:sz w:val="24"/>
          <w:szCs w:val="24"/>
          <w:lang w:eastAsia="ko-KR"/>
        </w:rPr>
        <w:t>15</w:t>
      </w:r>
      <w:r w:rsidR="00F33432">
        <w:rPr>
          <w:rFonts w:asciiTheme="majorHAnsi" w:eastAsiaTheme="majorHAnsi" w:hAnsiTheme="majorHAnsi" w:hint="eastAsia"/>
          <w:sz w:val="24"/>
          <w:szCs w:val="24"/>
          <w:lang w:eastAsia="ko-KR"/>
        </w:rPr>
        <w:t>억원을 기록했다.</w:t>
      </w:r>
      <w:r w:rsidR="00F3343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F334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영업이익은 </w:t>
      </w:r>
      <w:r w:rsidR="00716096">
        <w:rPr>
          <w:rFonts w:asciiTheme="majorHAnsi" w:eastAsiaTheme="majorHAnsi" w:hAnsiTheme="majorHAnsi"/>
          <w:sz w:val="24"/>
          <w:szCs w:val="24"/>
          <w:lang w:eastAsia="ko-KR"/>
        </w:rPr>
        <w:t>761</w:t>
      </w:r>
      <w:r w:rsidR="00F334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억원으로 전년 동기 대비 </w:t>
      </w:r>
      <w:r w:rsidR="00F33432">
        <w:rPr>
          <w:rFonts w:asciiTheme="majorHAnsi" w:eastAsiaTheme="majorHAnsi" w:hAnsiTheme="majorHAnsi"/>
          <w:sz w:val="24"/>
          <w:szCs w:val="24"/>
          <w:lang w:eastAsia="ko-KR"/>
        </w:rPr>
        <w:t xml:space="preserve">0.1% </w:t>
      </w:r>
      <w:r w:rsidR="00F33432">
        <w:rPr>
          <w:rFonts w:asciiTheme="majorHAnsi" w:eastAsiaTheme="majorHAnsi" w:hAnsiTheme="majorHAnsi" w:hint="eastAsia"/>
          <w:sz w:val="24"/>
          <w:szCs w:val="24"/>
          <w:lang w:eastAsia="ko-KR"/>
        </w:rPr>
        <w:t>증가했다.</w:t>
      </w:r>
      <w:r w:rsidR="00F3343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D051D">
        <w:rPr>
          <w:rFonts w:asciiTheme="majorHAnsi" w:eastAsiaTheme="majorHAnsi" w:hAnsiTheme="majorHAnsi" w:hint="eastAsia"/>
          <w:sz w:val="24"/>
          <w:szCs w:val="24"/>
          <w:lang w:eastAsia="ko-KR"/>
        </w:rPr>
        <w:t>데이터센터의 가동</w:t>
      </w:r>
      <w:r w:rsidR="00653144">
        <w:rPr>
          <w:rFonts w:asciiTheme="majorHAnsi" w:eastAsiaTheme="majorHAnsi" w:hAnsiTheme="majorHAnsi" w:hint="eastAsia"/>
          <w:sz w:val="24"/>
          <w:szCs w:val="24"/>
          <w:lang w:eastAsia="ko-KR"/>
        </w:rPr>
        <w:t>률</w:t>
      </w:r>
      <w:r w:rsidR="00BD051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53144">
        <w:rPr>
          <w:rFonts w:asciiTheme="majorHAnsi" w:eastAsiaTheme="majorHAnsi" w:hAnsiTheme="majorHAnsi" w:hint="eastAsia"/>
          <w:sz w:val="24"/>
          <w:szCs w:val="24"/>
          <w:lang w:eastAsia="ko-KR"/>
        </w:rPr>
        <w:t>상승이</w:t>
      </w:r>
      <w:r w:rsidR="00BD051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매출 성장을 견인했다.</w:t>
      </w:r>
      <w:r w:rsidR="00BD051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151F3F84" w14:textId="77777777" w:rsidR="00F5735A" w:rsidRPr="00F5735A" w:rsidRDefault="00F5735A" w:rsidP="00F5735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AD464A5" w14:textId="77777777" w:rsidR="00F5735A" w:rsidRPr="00F5735A" w:rsidRDefault="00F5735A" w:rsidP="00F5735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올해 SKT는 AI 컴퍼니로의 전환과 도약을 전격 추진한다. SKT는 다년간 축적한 AI 서비스와 기술 역량을 활용해 </w:t>
      </w:r>
      <w:proofErr w:type="spellStart"/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>고객·기술</w:t>
      </w:r>
      <w:proofErr w:type="spellEnd"/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, 시공간, 산업(AIX), Core BM, ESG 등 5대 </w:t>
      </w: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영역을 중심으로 혁신을 선도하는 ‘AI to Everywhere(AI를 모든 곳에)’ 전략을 펼친다.</w:t>
      </w:r>
    </w:p>
    <w:p w14:paraId="712608E5" w14:textId="77777777" w:rsidR="00F5735A" w:rsidRPr="00F5735A" w:rsidRDefault="00F5735A" w:rsidP="00F5735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2E2C5E4" w14:textId="5908FA64" w:rsidR="00F5735A" w:rsidRPr="00F5735A" w:rsidRDefault="00F5735A" w:rsidP="00F5735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>SKT는 지난 4월 AI 에이전트 '이루다'</w:t>
      </w:r>
      <w:proofErr w:type="spellStart"/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보유한 </w:t>
      </w:r>
      <w:proofErr w:type="spellStart"/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>스캐터랩에</w:t>
      </w:r>
      <w:proofErr w:type="spellEnd"/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150억원 규모의 지분투자를 진행하고 전략적 파트너십을 체결했다. 양사는 </w:t>
      </w:r>
      <w:proofErr w:type="spellStart"/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>에이닷이</w:t>
      </w:r>
      <w:proofErr w:type="spellEnd"/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보다 친밀한 대화를 통해 고민이나 외로움을 해소하는데 도움을 주는 서비스로의 진화와 감성과 지식 영역을 모두 보유한 초거대 언어 모델(LLM</w:t>
      </w:r>
      <w:r w:rsidR="008F118D">
        <w:rPr>
          <w:rFonts w:asciiTheme="majorHAnsi" w:eastAsiaTheme="majorHAnsi" w:hAnsiTheme="majorHAnsi"/>
          <w:sz w:val="24"/>
          <w:szCs w:val="24"/>
          <w:lang w:eastAsia="ko-KR"/>
        </w:rPr>
        <w:t>, Large Lang</w:t>
      </w:r>
      <w:r w:rsidR="005B33D7">
        <w:rPr>
          <w:rFonts w:asciiTheme="majorHAnsi" w:eastAsiaTheme="majorHAnsi" w:hAnsiTheme="majorHAnsi"/>
          <w:sz w:val="24"/>
          <w:szCs w:val="24"/>
          <w:lang w:eastAsia="ko-KR"/>
        </w:rPr>
        <w:t>ua</w:t>
      </w:r>
      <w:r w:rsidR="008F118D">
        <w:rPr>
          <w:rFonts w:asciiTheme="majorHAnsi" w:eastAsiaTheme="majorHAnsi" w:hAnsiTheme="majorHAnsi"/>
          <w:sz w:val="24"/>
          <w:szCs w:val="24"/>
          <w:lang w:eastAsia="ko-KR"/>
        </w:rPr>
        <w:t>ge Model</w:t>
      </w: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) 개발 등 AI </w:t>
      </w:r>
      <w:r w:rsidR="004D1FC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관련 다양한 </w:t>
      </w: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>영역에서 긴밀한 협력을 추진한다.</w:t>
      </w:r>
    </w:p>
    <w:p w14:paraId="40CE942B" w14:textId="1C806BFA" w:rsidR="00F5735A" w:rsidRDefault="00F5735A" w:rsidP="00F5735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F677D34" w14:textId="5BDB7D68" w:rsidR="002C5247" w:rsidRPr="00F5735A" w:rsidRDefault="002C5247" w:rsidP="002C52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이와 함께 </w:t>
      </w: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글로벌 톱 수준의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기업들과</w:t>
      </w:r>
      <w:r w:rsidR="00377D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초거대 언어 모델 및 </w:t>
      </w:r>
      <w:r w:rsidR="00377D3A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377D3A">
        <w:rPr>
          <w:rFonts w:asciiTheme="majorHAnsi" w:eastAsiaTheme="majorHAnsi" w:hAnsiTheme="majorHAnsi" w:hint="eastAsia"/>
          <w:sz w:val="24"/>
          <w:szCs w:val="24"/>
          <w:lang w:eastAsia="ko-KR"/>
        </w:rPr>
        <w:t>기술,</w:t>
      </w:r>
      <w:r w:rsidR="00377D3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377D3A">
        <w:rPr>
          <w:rFonts w:asciiTheme="majorHAnsi" w:eastAsiaTheme="majorHAnsi" w:hAnsiTheme="majorHAnsi" w:hint="eastAsia"/>
          <w:sz w:val="24"/>
          <w:szCs w:val="24"/>
          <w:lang w:eastAsia="ko-KR"/>
        </w:rPr>
        <w:t>서비스 등 분야에서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협력</w:t>
      </w:r>
      <w:r w:rsidR="00377D3A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지속 강화해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컴퍼니 도약에 박차를 가할 계획이다.</w:t>
      </w:r>
    </w:p>
    <w:p w14:paraId="6C4ADF5A" w14:textId="77777777" w:rsidR="002C5247" w:rsidRPr="00F5735A" w:rsidRDefault="002C5247" w:rsidP="00F5735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0171561" w14:textId="26113AE5" w:rsidR="00F5735A" w:rsidRPr="00F5735A" w:rsidRDefault="00F5735A" w:rsidP="00F5735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>미디어 사업은 매출액 3,932억원을 기록해 전년 동기 대비 10% 이상 증가하며 큰 폭으로 성장했다.</w:t>
      </w:r>
      <w:r w:rsidR="00BD051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D051D"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견고한 유무선 리더십을 기반으로 콘텐츠, 광고, 커머스 등</w:t>
      </w:r>
      <w:r w:rsidR="00BD051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미디어 사업 전반이 양적</w:t>
      </w:r>
      <w:r w:rsidR="00BD051D"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성장</w:t>
      </w:r>
      <w:r w:rsidR="00BD051D">
        <w:rPr>
          <w:rFonts w:asciiTheme="majorHAnsi" w:eastAsiaTheme="majorHAnsi" w:hAnsiTheme="majorHAnsi" w:hint="eastAsia"/>
          <w:sz w:val="24"/>
          <w:szCs w:val="24"/>
          <w:lang w:eastAsia="ko-KR"/>
        </w:rPr>
        <w:t>을 거뒀다</w:t>
      </w:r>
      <w:r w:rsidR="00BD051D"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. SKT는 AI 기술을 활용해 </w:t>
      </w:r>
      <w:r w:rsidR="00BD051D">
        <w:rPr>
          <w:rFonts w:asciiTheme="majorHAnsi" w:eastAsiaTheme="majorHAnsi" w:hAnsiTheme="majorHAnsi" w:hint="eastAsia"/>
          <w:sz w:val="24"/>
          <w:szCs w:val="24"/>
          <w:lang w:eastAsia="ko-KR"/>
        </w:rPr>
        <w:t>미디어</w:t>
      </w:r>
      <w:r w:rsidR="00BD051D"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사업의 경쟁력을 지속 강화할 예정이다.</w:t>
      </w:r>
    </w:p>
    <w:p w14:paraId="209C0953" w14:textId="77777777" w:rsidR="00F5735A" w:rsidRPr="00F5735A" w:rsidRDefault="00F5735A" w:rsidP="00F5735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D1E7BE3" w14:textId="0B8D32DD" w:rsidR="00F5735A" w:rsidRPr="00F5735A" w:rsidRDefault="00F5735A" w:rsidP="00F5735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>데이터센터와 클라우드를 중심으로 한 엔터프라이즈 사업 매출도 전년 동기</w:t>
      </w:r>
      <w:r w:rsidR="00D0114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대비</w:t>
      </w: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5</w:t>
      </w:r>
      <w:r w:rsidR="00BD051D">
        <w:rPr>
          <w:rFonts w:asciiTheme="majorHAnsi" w:eastAsiaTheme="majorHAnsi" w:hAnsiTheme="majorHAnsi"/>
          <w:sz w:val="24"/>
          <w:szCs w:val="24"/>
          <w:lang w:eastAsia="ko-KR"/>
        </w:rPr>
        <w:t>.8</w:t>
      </w: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>% 증가한 3,862억원을 기록</w:t>
      </w:r>
      <w:r w:rsidR="00BD051D">
        <w:rPr>
          <w:rFonts w:asciiTheme="majorHAnsi" w:eastAsiaTheme="majorHAnsi" w:hAnsiTheme="majorHAnsi" w:hint="eastAsia"/>
          <w:sz w:val="24"/>
          <w:szCs w:val="24"/>
          <w:lang w:eastAsia="ko-KR"/>
        </w:rPr>
        <w:t>했</w:t>
      </w: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다. </w:t>
      </w:r>
      <w:r w:rsidR="00BD051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데이터센터와 클라우드의 매출은 전년 대비 각각 </w:t>
      </w:r>
      <w:r w:rsidR="00BD051D">
        <w:rPr>
          <w:rFonts w:asciiTheme="majorHAnsi" w:eastAsiaTheme="majorHAnsi" w:hAnsiTheme="majorHAnsi"/>
          <w:sz w:val="24"/>
          <w:szCs w:val="24"/>
          <w:lang w:eastAsia="ko-KR"/>
        </w:rPr>
        <w:t xml:space="preserve">28.2%, 22.3% </w:t>
      </w:r>
      <w:r w:rsidR="00BD051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증가하며 빠른 성장세를 </w:t>
      </w:r>
      <w:r w:rsidR="00D01149">
        <w:rPr>
          <w:rFonts w:asciiTheme="majorHAnsi" w:eastAsiaTheme="majorHAnsi" w:hAnsiTheme="majorHAnsi" w:hint="eastAsia"/>
          <w:sz w:val="24"/>
          <w:szCs w:val="24"/>
          <w:lang w:eastAsia="ko-KR"/>
        </w:rPr>
        <w:t>이어가고</w:t>
      </w:r>
      <w:r w:rsidR="00BD051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있다.</w:t>
      </w:r>
      <w:r w:rsidR="00BD051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>특히 이번 1분기에는 지난해 사업을 시작한 AICC(AI Contact Center) 분야에서 최대 규모 수주를 달성했다. 향후 AI 기술과 솔루션을 활용</w:t>
      </w:r>
      <w:r w:rsidR="00653144">
        <w:rPr>
          <w:rFonts w:asciiTheme="majorHAnsi" w:eastAsiaTheme="majorHAnsi" w:hAnsiTheme="majorHAnsi" w:hint="eastAsia"/>
          <w:sz w:val="24"/>
          <w:szCs w:val="24"/>
          <w:lang w:eastAsia="ko-KR"/>
        </w:rPr>
        <w:t>한 산업</w:t>
      </w: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53144">
        <w:rPr>
          <w:rFonts w:asciiTheme="majorHAnsi" w:eastAsiaTheme="majorHAnsi" w:hAnsiTheme="majorHAnsi" w:hint="eastAsia"/>
          <w:sz w:val="24"/>
          <w:szCs w:val="24"/>
          <w:lang w:eastAsia="ko-KR"/>
        </w:rPr>
        <w:t>전반</w:t>
      </w: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AI 전환을 </w:t>
      </w:r>
      <w:r w:rsidR="00653144">
        <w:rPr>
          <w:rFonts w:asciiTheme="majorHAnsi" w:eastAsiaTheme="majorHAnsi" w:hAnsiTheme="majorHAnsi" w:hint="eastAsia"/>
          <w:sz w:val="24"/>
          <w:szCs w:val="24"/>
          <w:lang w:eastAsia="ko-KR"/>
        </w:rPr>
        <w:t>주도</w:t>
      </w: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>해 추가 성장을 도모할 계획이다.</w:t>
      </w:r>
    </w:p>
    <w:p w14:paraId="358378ED" w14:textId="6C5D9D30" w:rsidR="00F5735A" w:rsidRDefault="00F5735A" w:rsidP="00F5735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E643C36" w14:textId="5CDB8BDE" w:rsidR="00C95E62" w:rsidRDefault="00C95E62" w:rsidP="00F5735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구독 서비스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우주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’는 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분기 월간 실사용자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180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만 이상을 달성하며 국내 대표 구독 서비스로 입지를 공고히</w:t>
      </w:r>
      <w:r w:rsidR="00A5466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하고 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지난해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49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개국에 출시한 글로벌 메타버스 플랫폼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이프랜드</w:t>
      </w:r>
      <w:proofErr w:type="spellEnd"/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도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분기 월간 실사용자 수의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10%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이상을 해외에서 유치하는 등 성과를 거</w:t>
      </w:r>
      <w:r w:rsidR="004D1FC9">
        <w:rPr>
          <w:rFonts w:asciiTheme="majorHAnsi" w:eastAsiaTheme="majorHAnsi" w:hAnsiTheme="majorHAnsi" w:hint="eastAsia"/>
          <w:sz w:val="24"/>
          <w:szCs w:val="24"/>
          <w:lang w:eastAsia="ko-KR"/>
        </w:rPr>
        <w:t>뒀다.</w:t>
      </w:r>
      <w:r w:rsidR="004D1FC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중 개인화 공간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이프홈</w:t>
      </w:r>
      <w:proofErr w:type="spellEnd"/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을 출시</w:t>
      </w:r>
      <w:r w:rsidR="002D568D">
        <w:rPr>
          <w:rFonts w:asciiTheme="majorHAnsi" w:eastAsiaTheme="majorHAnsi" w:hAnsiTheme="majorHAnsi" w:hint="eastAsia"/>
          <w:sz w:val="24"/>
          <w:szCs w:val="24"/>
          <w:lang w:eastAsia="ko-KR"/>
        </w:rPr>
        <w:t>했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 하반기 중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인앱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결제 기반의 콘텐츠 마켓 등 경제 시스템을 강화해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성장에 박차를 가할 계획이다.</w:t>
      </w:r>
    </w:p>
    <w:p w14:paraId="71F45B57" w14:textId="77777777" w:rsidR="00C95E62" w:rsidRPr="00F5735A" w:rsidRDefault="00C95E62" w:rsidP="00F5735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FC2DE30" w14:textId="28CC89B0" w:rsidR="00F5735A" w:rsidRPr="00F5735A" w:rsidRDefault="00F5735A" w:rsidP="00F5735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>유무선통신 사업도 지속 성장 중이</w:t>
      </w:r>
      <w:r w:rsidR="00653144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1분기 말 기준 5G 가입자 수는 1,415만명으로 전체 고객의 60%를 상회하고 있다.</w:t>
      </w:r>
    </w:p>
    <w:p w14:paraId="41D292DB" w14:textId="77777777" w:rsidR="00F5735A" w:rsidRPr="00F5735A" w:rsidRDefault="00F5735A" w:rsidP="00F5735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658B6F9" w14:textId="73AE7935" w:rsidR="00F5735A" w:rsidRPr="00F5735A" w:rsidRDefault="00F5735A" w:rsidP="00F5735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>SKT는 지난 3월 고객의 다양한 이용 패턴과 연령대 특성을 고려한 5G 요금제 개편을 선제적으로 발표하며 고객의 선택권 확대에 앞장서고 있다. 지난 5월 초 '5G 맞춤형 요금제'와 3월 말 '5G 시니어 요금제'</w:t>
      </w:r>
      <w:proofErr w:type="spellStart"/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출시했으며, 오는 6월 </w:t>
      </w:r>
      <w:r w:rsidR="0065314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데이터 </w:t>
      </w:r>
      <w:proofErr w:type="spellStart"/>
      <w:r w:rsidR="00653144">
        <w:rPr>
          <w:rFonts w:asciiTheme="majorHAnsi" w:eastAsiaTheme="majorHAnsi" w:hAnsiTheme="majorHAnsi" w:hint="eastAsia"/>
          <w:sz w:val="24"/>
          <w:szCs w:val="24"/>
          <w:lang w:eastAsia="ko-KR"/>
        </w:rPr>
        <w:t>제공</w:t>
      </w:r>
      <w:r w:rsidR="00653144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량을</w:t>
      </w:r>
      <w:proofErr w:type="spellEnd"/>
      <w:r w:rsidR="0065314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확대하고 청년 특화 혜택을 추가한 </w:t>
      </w: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>'0청년 요금제'</w:t>
      </w:r>
      <w:r w:rsidR="00653144">
        <w:rPr>
          <w:rFonts w:asciiTheme="majorHAnsi" w:eastAsiaTheme="majorHAnsi" w:hAnsiTheme="majorHAnsi" w:hint="eastAsia"/>
          <w:sz w:val="24"/>
          <w:szCs w:val="24"/>
          <w:lang w:eastAsia="ko-KR"/>
        </w:rPr>
        <w:t>도</w:t>
      </w: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출시</w:t>
      </w:r>
      <w:r w:rsidR="00653144">
        <w:rPr>
          <w:rFonts w:asciiTheme="majorHAnsi" w:eastAsiaTheme="majorHAnsi" w:hAnsiTheme="majorHAnsi" w:hint="eastAsia"/>
          <w:sz w:val="24"/>
          <w:szCs w:val="24"/>
          <w:lang w:eastAsia="ko-KR"/>
        </w:rPr>
        <w:t>해 고객 선택권과 혜택을 확대할</w:t>
      </w: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계획이다. </w:t>
      </w:r>
    </w:p>
    <w:p w14:paraId="54703902" w14:textId="77777777" w:rsidR="00F5735A" w:rsidRPr="00F5735A" w:rsidRDefault="00F5735A" w:rsidP="00F5735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047F7A9" w14:textId="77777777" w:rsidR="00F5735A" w:rsidRPr="00F5735A" w:rsidRDefault="00F5735A" w:rsidP="00F5735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>유선시장에서도 IPTV 및 초고속 인터넷 순증 1위를 달성하며 가입자 성장을 지속하고 있다. 1분기 말 기준 유료방송 가입자 수는 940만명, 초고속 인터넷 가입자 수는 676만명을 기록했다.</w:t>
      </w:r>
    </w:p>
    <w:p w14:paraId="13F50ADA" w14:textId="77777777" w:rsidR="00F5735A" w:rsidRPr="00F5735A" w:rsidRDefault="00F5735A" w:rsidP="00F5735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3267C56" w14:textId="52FC9E5D" w:rsidR="00911B59" w:rsidRDefault="00F5735A" w:rsidP="00F5735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>김진원 SKT CFO(최고 재무 책임자)는 "주요 사업 영역의 고른 성장을 바탕으로</w:t>
      </w:r>
      <w:r w:rsidR="006847C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>한 AI 컴퍼니로의 도약과 전환이 기업과 주주가치 극대화로 이어질 수 있도록 최선을 다하겠다"고 밝혔다.</w:t>
      </w:r>
    </w:p>
    <w:p w14:paraId="5D3F24A5" w14:textId="77777777" w:rsidR="001B46BD" w:rsidRPr="00911B59" w:rsidRDefault="001B46BD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095D668" w14:textId="14EF7944" w:rsidR="00911B59" w:rsidRPr="004D2400" w:rsidRDefault="00911B59" w:rsidP="004D2400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1B11F07" w14:textId="77777777" w:rsidR="0047253F" w:rsidRPr="0003329A" w:rsidRDefault="0047253F" w:rsidP="0047253F">
      <w:pPr>
        <w:widowControl w:val="0"/>
        <w:spacing w:after="0" w:line="240" w:lineRule="auto"/>
        <w:ind w:left="4320" w:rightChars="40" w:right="88" w:hangingChars="1800" w:hanging="432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※ &lt;첨부1</w:t>
      </w:r>
      <w:r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  <w:t>, 2</w:t>
      </w: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&gt; 연결 손익계산서 요약</w:t>
      </w:r>
      <w:r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별도 손익계산서 요약</w:t>
      </w:r>
    </w:p>
    <w:p w14:paraId="330038AB" w14:textId="77777777" w:rsidR="0047253F" w:rsidRDefault="0047253F" w:rsidP="0047253F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bCs/>
          <w:szCs w:val="24"/>
          <w:lang w:eastAsia="ko-KR" w:bidi="ar-SA"/>
        </w:rPr>
      </w:pPr>
    </w:p>
    <w:p w14:paraId="6BAF375B" w14:textId="77777777" w:rsidR="009E021D" w:rsidRPr="0003329A" w:rsidRDefault="009E021D" w:rsidP="009E021D">
      <w:pPr>
        <w:snapToGrid w:val="0"/>
        <w:spacing w:after="0" w:line="240" w:lineRule="auto"/>
        <w:ind w:right="88" w:firstLineChars="100" w:firstLine="220"/>
        <w:jc w:val="both"/>
        <w:rPr>
          <w:rFonts w:ascii="맑은 고딕" w:hAnsi="맑은 고딕" w:cs="Arial"/>
          <w:szCs w:val="24"/>
          <w:lang w:eastAsia="ko-KR" w:bidi="ar-SA"/>
        </w:rPr>
      </w:pPr>
      <w:bookmarkStart w:id="0" w:name="_Hlk63184344"/>
      <w:r w:rsidRPr="0003329A">
        <w:rPr>
          <w:rFonts w:ascii="맑은 고딕" w:hAnsi="맑은 고딕" w:cs="Arial"/>
          <w:b/>
          <w:bCs/>
          <w:szCs w:val="24"/>
          <w:lang w:eastAsia="ko-KR" w:bidi="ar-SA"/>
        </w:rPr>
        <w:t>&lt;</w:t>
      </w: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첨부1&gt; 연결 손익계산서 요약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 (단위: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237"/>
        <w:gridCol w:w="1258"/>
        <w:gridCol w:w="1191"/>
        <w:gridCol w:w="1191"/>
      </w:tblGrid>
      <w:tr w:rsidR="009E021D" w:rsidRPr="0003329A" w14:paraId="341028E6" w14:textId="77777777" w:rsidTr="00E71C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EB9AF7" w14:textId="77777777" w:rsidR="009E021D" w:rsidRPr="0003329A" w:rsidRDefault="009E021D" w:rsidP="00E71C3F">
            <w:pPr>
              <w:spacing w:after="0" w:line="240" w:lineRule="auto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A4C7C7" w14:textId="27E1195E" w:rsidR="009E021D" w:rsidRPr="0003329A" w:rsidRDefault="009E021D" w:rsidP="00E71C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23.1Q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90F329" w14:textId="237C7723" w:rsidR="009E021D" w:rsidRPr="0003329A" w:rsidRDefault="009E021D" w:rsidP="00E71C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22.</w:t>
            </w:r>
            <w:r w:rsidR="00F33432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1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CD4BE2" w14:textId="24BA4AF1" w:rsidR="009E021D" w:rsidRPr="0003329A" w:rsidRDefault="00F33432" w:rsidP="00E71C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Y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E4C45D" w14:textId="43BE8705" w:rsidR="009E021D" w:rsidRPr="0003329A" w:rsidRDefault="009E021D" w:rsidP="00E71C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22.</w:t>
            </w:r>
            <w:r w:rsidR="00F33432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4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4E0485" w14:textId="4680E919" w:rsidR="009E021D" w:rsidRPr="0003329A" w:rsidRDefault="00F33432" w:rsidP="00E71C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oQ</w:t>
            </w:r>
          </w:p>
        </w:tc>
      </w:tr>
      <w:tr w:rsidR="00F33432" w:rsidRPr="0003329A" w14:paraId="4318DB73" w14:textId="77777777" w:rsidTr="00E71C3F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DD70" w14:textId="77777777" w:rsidR="00F33432" w:rsidRPr="0003329A" w:rsidRDefault="00F33432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0262" w14:textId="4B0316DB" w:rsidR="00F33432" w:rsidRPr="0003329A" w:rsidRDefault="00AD0809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3,722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2446" w14:textId="55460DE6" w:rsidR="00F33432" w:rsidRPr="0003329A" w:rsidRDefault="00AD0809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2,772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4D85" w14:textId="3034EFEF" w:rsidR="00F33432" w:rsidRPr="0003329A" w:rsidRDefault="00F33432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.2%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DB14" w14:textId="5B2E90C8" w:rsidR="00F33432" w:rsidRPr="0003329A" w:rsidRDefault="00AD0809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3,945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8076" w14:textId="6FB7C099" w:rsidR="00F33432" w:rsidRPr="0003329A" w:rsidRDefault="00F33432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F33432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△</w:t>
            </w: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0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.5%</w:t>
            </w:r>
          </w:p>
        </w:tc>
      </w:tr>
      <w:tr w:rsidR="00F33432" w:rsidRPr="0003329A" w14:paraId="25D6DDD9" w14:textId="77777777" w:rsidTr="00E71C3F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A78B" w14:textId="77777777" w:rsidR="00F33432" w:rsidRPr="0003329A" w:rsidRDefault="00F33432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4507" w14:textId="220C5CAD" w:rsidR="00F33432" w:rsidRPr="0003329A" w:rsidRDefault="00AD0809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,948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0CF7" w14:textId="4E799F81" w:rsidR="00F33432" w:rsidRPr="0003329A" w:rsidRDefault="00AD0809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,324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1706" w14:textId="04528D7D" w:rsidR="00F33432" w:rsidRPr="0003329A" w:rsidRDefault="00F33432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4.4%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4354" w14:textId="69A66D7A" w:rsidR="00F33432" w:rsidRPr="0003329A" w:rsidRDefault="00AD0809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,545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DAFC" w14:textId="40C236B8" w:rsidR="00F33432" w:rsidRPr="0003329A" w:rsidRDefault="00F33432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9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4.4%</w:t>
            </w:r>
          </w:p>
        </w:tc>
      </w:tr>
      <w:tr w:rsidR="00F33432" w:rsidRPr="0003329A" w14:paraId="5372D5C7" w14:textId="77777777" w:rsidTr="00E71C3F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A1AD" w14:textId="77777777" w:rsidR="00F33432" w:rsidRPr="0003329A" w:rsidRDefault="00F33432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4D80" w14:textId="34AC223F" w:rsidR="00F33432" w:rsidRPr="0003329A" w:rsidRDefault="00AD0809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,025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17AA" w14:textId="47802F4E" w:rsidR="00F33432" w:rsidRPr="0003329A" w:rsidRDefault="00AD0809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,203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D1D0" w14:textId="2678D032" w:rsidR="00F33432" w:rsidRPr="0003329A" w:rsidRDefault="00F33432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7.3%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F88B" w14:textId="1D5229FC" w:rsidR="00F33432" w:rsidRPr="0003329A" w:rsidRDefault="00AD0809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,237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E07C" w14:textId="12EE942E" w:rsidR="00F33432" w:rsidRPr="0003329A" w:rsidRDefault="00F33432" w:rsidP="00F3343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5.2%</w:t>
            </w:r>
          </w:p>
        </w:tc>
      </w:tr>
      <w:bookmarkEnd w:id="0"/>
    </w:tbl>
    <w:p w14:paraId="0961A20D" w14:textId="77777777" w:rsidR="009E021D" w:rsidRPr="00C46FAF" w:rsidRDefault="009E021D" w:rsidP="009E021D">
      <w:pPr>
        <w:wordWrap w:val="0"/>
        <w:autoSpaceDE w:val="0"/>
        <w:autoSpaceDN w:val="0"/>
        <w:spacing w:after="0" w:line="240" w:lineRule="auto"/>
        <w:ind w:firstLine="225"/>
        <w:jc w:val="both"/>
        <w:rPr>
          <w:rFonts w:ascii="맑은 고딕" w:hAnsi="맑은 고딕"/>
          <w:b/>
          <w:bCs/>
          <w:szCs w:val="24"/>
          <w:lang w:eastAsia="ko-KR"/>
        </w:rPr>
      </w:pPr>
    </w:p>
    <w:p w14:paraId="019270C4" w14:textId="77777777" w:rsidR="009E021D" w:rsidRPr="0003329A" w:rsidRDefault="009E021D" w:rsidP="009E021D">
      <w:pPr>
        <w:snapToGrid w:val="0"/>
        <w:spacing w:after="0" w:line="240" w:lineRule="auto"/>
        <w:ind w:right="88" w:firstLineChars="100" w:firstLine="220"/>
        <w:jc w:val="both"/>
        <w:rPr>
          <w:rFonts w:ascii="맑은 고딕" w:hAnsi="맑은 고딕" w:cs="Arial"/>
          <w:szCs w:val="24"/>
          <w:lang w:eastAsia="ko-KR" w:bidi="ar-SA"/>
        </w:rPr>
      </w:pP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&lt;첨부2&gt; 별도 손익계산서 요약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 (단위: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237"/>
        <w:gridCol w:w="1258"/>
        <w:gridCol w:w="1191"/>
        <w:gridCol w:w="1191"/>
      </w:tblGrid>
      <w:tr w:rsidR="009E021D" w:rsidRPr="0003329A" w14:paraId="048ADFC3" w14:textId="77777777" w:rsidTr="00E71C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FCD0D7" w14:textId="77777777" w:rsidR="009E021D" w:rsidRPr="0003329A" w:rsidRDefault="009E021D" w:rsidP="00E71C3F">
            <w:pPr>
              <w:spacing w:after="0" w:line="240" w:lineRule="auto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E4A672" w14:textId="78419D13" w:rsidR="009E021D" w:rsidRPr="0003329A" w:rsidRDefault="009E021D" w:rsidP="00E71C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23.1Q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8D2164B" w14:textId="22E18440" w:rsidR="009E021D" w:rsidRPr="0003329A" w:rsidRDefault="009E021D" w:rsidP="00E71C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 w:rsidR="00F33432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.</w:t>
            </w:r>
            <w:r w:rsidR="00F33432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1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ADFB88" w14:textId="665065B6" w:rsidR="009E021D" w:rsidRPr="0003329A" w:rsidRDefault="00F33432" w:rsidP="00E71C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Y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3978AC4" w14:textId="73808648" w:rsidR="009E021D" w:rsidRPr="0003329A" w:rsidRDefault="009E021D" w:rsidP="00E71C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 w:rsidR="00F33432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.</w:t>
            </w:r>
            <w:r w:rsidR="00F33432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4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B34C83" w14:textId="1F634047" w:rsidR="009E021D" w:rsidRPr="0003329A" w:rsidRDefault="00F33432" w:rsidP="00E71C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oQ</w:t>
            </w:r>
          </w:p>
        </w:tc>
      </w:tr>
      <w:tr w:rsidR="009E021D" w:rsidRPr="0003329A" w14:paraId="201529B7" w14:textId="77777777" w:rsidTr="00E71C3F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E8B8" w14:textId="77777777" w:rsidR="009E021D" w:rsidRPr="0003329A" w:rsidRDefault="009E021D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D37B" w14:textId="523D7259" w:rsidR="009E021D" w:rsidRPr="0003329A" w:rsidRDefault="00AD0809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1,173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DA17" w14:textId="039F4277" w:rsidR="009E021D" w:rsidRPr="0003329A" w:rsidRDefault="00AD0809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0,774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9E58" w14:textId="4736F811" w:rsidR="009E021D" w:rsidRPr="0003329A" w:rsidRDefault="00F33432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.3%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3E5A" w14:textId="620C85C3" w:rsidR="009E021D" w:rsidRPr="0003329A" w:rsidRDefault="00AD0809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0,963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FF3A" w14:textId="6F9C822D" w:rsidR="009E021D" w:rsidRPr="0003329A" w:rsidRDefault="00F33432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0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.7%</w:t>
            </w:r>
          </w:p>
        </w:tc>
      </w:tr>
      <w:tr w:rsidR="009E021D" w:rsidRPr="0003329A" w14:paraId="5EEFC491" w14:textId="77777777" w:rsidTr="00E71C3F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1C8E" w14:textId="77777777" w:rsidR="009E021D" w:rsidRPr="0003329A" w:rsidRDefault="009E021D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73F0" w14:textId="0C5D7FE6" w:rsidR="009E021D" w:rsidRPr="0003329A" w:rsidRDefault="00AD0809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,157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9DCD" w14:textId="3A0B0756" w:rsidR="009E021D" w:rsidRPr="0003329A" w:rsidRDefault="00AD0809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,569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6C41" w14:textId="1D0BBB84" w:rsidR="009E021D" w:rsidRPr="0003329A" w:rsidRDefault="00F33432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6.5%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EEF4" w14:textId="09456539" w:rsidR="009E021D" w:rsidRPr="0003329A" w:rsidRDefault="00AD0809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,946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CB81" w14:textId="5FF272E8" w:rsidR="009E021D" w:rsidRPr="0003329A" w:rsidRDefault="00F33432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13.6%</w:t>
            </w:r>
          </w:p>
        </w:tc>
      </w:tr>
      <w:tr w:rsidR="009E021D" w:rsidRPr="0003329A" w14:paraId="3FE83652" w14:textId="77777777" w:rsidTr="00E71C3F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CB10" w14:textId="77777777" w:rsidR="009E021D" w:rsidRPr="0003329A" w:rsidRDefault="009E021D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FD3A" w14:textId="353FF6E8" w:rsidR="009E021D" w:rsidRPr="0003329A" w:rsidRDefault="00AD0809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,222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80CB" w14:textId="29EF82AA" w:rsidR="009E021D" w:rsidRPr="0003329A" w:rsidRDefault="00AD0809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,520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ED12" w14:textId="036A7862" w:rsidR="009E021D" w:rsidRPr="0003329A" w:rsidRDefault="00F33432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6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7.5%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B928" w14:textId="2AC73B74" w:rsidR="009E021D" w:rsidRPr="0003329A" w:rsidRDefault="00AD0809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8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29C4" w14:textId="7BBA79D3" w:rsidR="009E021D" w:rsidRPr="0003329A" w:rsidRDefault="00F33432" w:rsidP="00E71C3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80.4%</w:t>
            </w:r>
          </w:p>
        </w:tc>
      </w:tr>
    </w:tbl>
    <w:p w14:paraId="18683B21" w14:textId="77777777" w:rsidR="0047253F" w:rsidRDefault="0047253F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0219" w14:textId="77777777" w:rsidR="00911B59" w:rsidRDefault="00911B59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779A7D45" w:rsidR="002911A2" w:rsidRDefault="004A65BC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F4F21" w14:textId="77777777" w:rsidR="00252C10" w:rsidRDefault="00252C10">
      <w:pPr>
        <w:spacing w:after="0" w:line="240" w:lineRule="auto"/>
      </w:pPr>
      <w:r>
        <w:separator/>
      </w:r>
    </w:p>
  </w:endnote>
  <w:endnote w:type="continuationSeparator" w:id="0">
    <w:p w14:paraId="4065C223" w14:textId="77777777" w:rsidR="00252C10" w:rsidRDefault="00252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885E7E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77A5B" w14:textId="77777777" w:rsidR="00252C10" w:rsidRDefault="00252C10">
      <w:pPr>
        <w:spacing w:after="0" w:line="240" w:lineRule="auto"/>
      </w:pPr>
      <w:r>
        <w:separator/>
      </w:r>
    </w:p>
  </w:footnote>
  <w:footnote w:type="continuationSeparator" w:id="0">
    <w:p w14:paraId="710CB55B" w14:textId="77777777" w:rsidR="00252C10" w:rsidRDefault="00252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796919600">
    <w:abstractNumId w:val="1"/>
  </w:num>
  <w:num w:numId="2" w16cid:durableId="387873885">
    <w:abstractNumId w:val="3"/>
  </w:num>
  <w:num w:numId="3" w16cid:durableId="824857106">
    <w:abstractNumId w:val="10"/>
  </w:num>
  <w:num w:numId="4" w16cid:durableId="815682796">
    <w:abstractNumId w:val="6"/>
  </w:num>
  <w:num w:numId="5" w16cid:durableId="2116556593">
    <w:abstractNumId w:val="5"/>
  </w:num>
  <w:num w:numId="6" w16cid:durableId="64305647">
    <w:abstractNumId w:val="9"/>
  </w:num>
  <w:num w:numId="7" w16cid:durableId="373502497">
    <w:abstractNumId w:val="4"/>
  </w:num>
  <w:num w:numId="8" w16cid:durableId="1247422315">
    <w:abstractNumId w:val="7"/>
  </w:num>
  <w:num w:numId="9" w16cid:durableId="1903520631">
    <w:abstractNumId w:val="2"/>
  </w:num>
  <w:num w:numId="10" w16cid:durableId="1896240296">
    <w:abstractNumId w:val="8"/>
  </w:num>
  <w:num w:numId="11" w16cid:durableId="173219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250B6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4FB6"/>
    <w:rsid w:val="00047072"/>
    <w:rsid w:val="000473C2"/>
    <w:rsid w:val="000505EB"/>
    <w:rsid w:val="000511C3"/>
    <w:rsid w:val="0005549C"/>
    <w:rsid w:val="00055807"/>
    <w:rsid w:val="00055FEB"/>
    <w:rsid w:val="0005663E"/>
    <w:rsid w:val="000573F8"/>
    <w:rsid w:val="00057889"/>
    <w:rsid w:val="00060216"/>
    <w:rsid w:val="00060788"/>
    <w:rsid w:val="00060976"/>
    <w:rsid w:val="00062F63"/>
    <w:rsid w:val="0006374A"/>
    <w:rsid w:val="00064706"/>
    <w:rsid w:val="00067342"/>
    <w:rsid w:val="00071186"/>
    <w:rsid w:val="00071AC3"/>
    <w:rsid w:val="000728D9"/>
    <w:rsid w:val="00074CDE"/>
    <w:rsid w:val="00075745"/>
    <w:rsid w:val="000769F3"/>
    <w:rsid w:val="000805E4"/>
    <w:rsid w:val="00080FC8"/>
    <w:rsid w:val="00081731"/>
    <w:rsid w:val="00081BA7"/>
    <w:rsid w:val="000821B2"/>
    <w:rsid w:val="0008269C"/>
    <w:rsid w:val="000833CF"/>
    <w:rsid w:val="00084FDB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6814"/>
    <w:rsid w:val="00097EF1"/>
    <w:rsid w:val="000A01DF"/>
    <w:rsid w:val="000A44F4"/>
    <w:rsid w:val="000A793E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C6A81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4AE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0A09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36CF6"/>
    <w:rsid w:val="00140BC1"/>
    <w:rsid w:val="00141403"/>
    <w:rsid w:val="00141C26"/>
    <w:rsid w:val="00143225"/>
    <w:rsid w:val="00144015"/>
    <w:rsid w:val="00145613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57D34"/>
    <w:rsid w:val="00165118"/>
    <w:rsid w:val="001655DF"/>
    <w:rsid w:val="0016600F"/>
    <w:rsid w:val="00167353"/>
    <w:rsid w:val="00167967"/>
    <w:rsid w:val="00167AF7"/>
    <w:rsid w:val="001718F4"/>
    <w:rsid w:val="00171ADE"/>
    <w:rsid w:val="0017573E"/>
    <w:rsid w:val="00175B60"/>
    <w:rsid w:val="00176066"/>
    <w:rsid w:val="001768DE"/>
    <w:rsid w:val="00176BD4"/>
    <w:rsid w:val="00176CA9"/>
    <w:rsid w:val="00176FF6"/>
    <w:rsid w:val="00177CFF"/>
    <w:rsid w:val="001804B5"/>
    <w:rsid w:val="001819E7"/>
    <w:rsid w:val="00184215"/>
    <w:rsid w:val="0018432F"/>
    <w:rsid w:val="00185029"/>
    <w:rsid w:val="00185748"/>
    <w:rsid w:val="00185868"/>
    <w:rsid w:val="00185A95"/>
    <w:rsid w:val="00187F12"/>
    <w:rsid w:val="00187FE5"/>
    <w:rsid w:val="001900D3"/>
    <w:rsid w:val="00190DC1"/>
    <w:rsid w:val="00191236"/>
    <w:rsid w:val="00191C50"/>
    <w:rsid w:val="0019277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6072"/>
    <w:rsid w:val="001C7628"/>
    <w:rsid w:val="001D16E3"/>
    <w:rsid w:val="001D2A49"/>
    <w:rsid w:val="001D2FAB"/>
    <w:rsid w:val="001D3DC0"/>
    <w:rsid w:val="001D421F"/>
    <w:rsid w:val="001D4628"/>
    <w:rsid w:val="001D52BB"/>
    <w:rsid w:val="001D5BED"/>
    <w:rsid w:val="001D684B"/>
    <w:rsid w:val="001D77D5"/>
    <w:rsid w:val="001E0080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0BB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365E7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27A7"/>
    <w:rsid w:val="00252C10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6BCD"/>
    <w:rsid w:val="002B7A18"/>
    <w:rsid w:val="002B7F99"/>
    <w:rsid w:val="002C04B6"/>
    <w:rsid w:val="002C101D"/>
    <w:rsid w:val="002C2829"/>
    <w:rsid w:val="002C2A6F"/>
    <w:rsid w:val="002C3187"/>
    <w:rsid w:val="002C34E8"/>
    <w:rsid w:val="002C3960"/>
    <w:rsid w:val="002C5247"/>
    <w:rsid w:val="002C5870"/>
    <w:rsid w:val="002D03E0"/>
    <w:rsid w:val="002D09D1"/>
    <w:rsid w:val="002D0C23"/>
    <w:rsid w:val="002D187A"/>
    <w:rsid w:val="002D210D"/>
    <w:rsid w:val="002D3150"/>
    <w:rsid w:val="002D5086"/>
    <w:rsid w:val="002D50CB"/>
    <w:rsid w:val="002D568D"/>
    <w:rsid w:val="002D58BB"/>
    <w:rsid w:val="002D59D9"/>
    <w:rsid w:val="002D5A51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0CA"/>
    <w:rsid w:val="003224FE"/>
    <w:rsid w:val="00322602"/>
    <w:rsid w:val="0032323A"/>
    <w:rsid w:val="00324723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41196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442F"/>
    <w:rsid w:val="00365AFF"/>
    <w:rsid w:val="00367101"/>
    <w:rsid w:val="0036726B"/>
    <w:rsid w:val="00367632"/>
    <w:rsid w:val="00367E32"/>
    <w:rsid w:val="00370284"/>
    <w:rsid w:val="00370675"/>
    <w:rsid w:val="00371D08"/>
    <w:rsid w:val="003730E3"/>
    <w:rsid w:val="00373808"/>
    <w:rsid w:val="003758C3"/>
    <w:rsid w:val="00377694"/>
    <w:rsid w:val="00377727"/>
    <w:rsid w:val="00377D3A"/>
    <w:rsid w:val="00380A51"/>
    <w:rsid w:val="00380BF6"/>
    <w:rsid w:val="00380EA5"/>
    <w:rsid w:val="003824FA"/>
    <w:rsid w:val="00382D3B"/>
    <w:rsid w:val="00384F27"/>
    <w:rsid w:val="00385D7C"/>
    <w:rsid w:val="003864D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845"/>
    <w:rsid w:val="003C1E50"/>
    <w:rsid w:val="003C2067"/>
    <w:rsid w:val="003C3D5E"/>
    <w:rsid w:val="003C3E49"/>
    <w:rsid w:val="003C5D09"/>
    <w:rsid w:val="003D0A2E"/>
    <w:rsid w:val="003D0C5C"/>
    <w:rsid w:val="003D1409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5AC0"/>
    <w:rsid w:val="00406EFB"/>
    <w:rsid w:val="00407AD9"/>
    <w:rsid w:val="00407D57"/>
    <w:rsid w:val="004107BF"/>
    <w:rsid w:val="00411195"/>
    <w:rsid w:val="00412C47"/>
    <w:rsid w:val="00413649"/>
    <w:rsid w:val="0041382A"/>
    <w:rsid w:val="00414546"/>
    <w:rsid w:val="00420118"/>
    <w:rsid w:val="00420952"/>
    <w:rsid w:val="00421029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208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54F3"/>
    <w:rsid w:val="0044745B"/>
    <w:rsid w:val="0044757C"/>
    <w:rsid w:val="00450EEC"/>
    <w:rsid w:val="0045158B"/>
    <w:rsid w:val="00456680"/>
    <w:rsid w:val="00457874"/>
    <w:rsid w:val="004602F5"/>
    <w:rsid w:val="00460C9C"/>
    <w:rsid w:val="00460E3B"/>
    <w:rsid w:val="00462644"/>
    <w:rsid w:val="00463512"/>
    <w:rsid w:val="00465836"/>
    <w:rsid w:val="00466DA3"/>
    <w:rsid w:val="0047004D"/>
    <w:rsid w:val="0047240B"/>
    <w:rsid w:val="0047253F"/>
    <w:rsid w:val="00473768"/>
    <w:rsid w:val="00474B57"/>
    <w:rsid w:val="004750D5"/>
    <w:rsid w:val="004802D5"/>
    <w:rsid w:val="00480504"/>
    <w:rsid w:val="0048052E"/>
    <w:rsid w:val="00481C4F"/>
    <w:rsid w:val="004820CF"/>
    <w:rsid w:val="004838D0"/>
    <w:rsid w:val="00484176"/>
    <w:rsid w:val="00484DDB"/>
    <w:rsid w:val="00487983"/>
    <w:rsid w:val="004934F7"/>
    <w:rsid w:val="00494B1E"/>
    <w:rsid w:val="00494EED"/>
    <w:rsid w:val="004953D4"/>
    <w:rsid w:val="004A10E9"/>
    <w:rsid w:val="004A24B6"/>
    <w:rsid w:val="004A276C"/>
    <w:rsid w:val="004A3106"/>
    <w:rsid w:val="004A4CE8"/>
    <w:rsid w:val="004A54EA"/>
    <w:rsid w:val="004A65BC"/>
    <w:rsid w:val="004A73B5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7B0"/>
    <w:rsid w:val="004C4947"/>
    <w:rsid w:val="004C4AEA"/>
    <w:rsid w:val="004C64A7"/>
    <w:rsid w:val="004C701C"/>
    <w:rsid w:val="004C7B38"/>
    <w:rsid w:val="004D1A7B"/>
    <w:rsid w:val="004D1FC9"/>
    <w:rsid w:val="004D2030"/>
    <w:rsid w:val="004D2400"/>
    <w:rsid w:val="004D3B68"/>
    <w:rsid w:val="004D4DCE"/>
    <w:rsid w:val="004D541F"/>
    <w:rsid w:val="004D5C5C"/>
    <w:rsid w:val="004D65F3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294F"/>
    <w:rsid w:val="00533F86"/>
    <w:rsid w:val="00534642"/>
    <w:rsid w:val="00537B02"/>
    <w:rsid w:val="00540791"/>
    <w:rsid w:val="00541268"/>
    <w:rsid w:val="00541B42"/>
    <w:rsid w:val="00542A89"/>
    <w:rsid w:val="00543806"/>
    <w:rsid w:val="00544100"/>
    <w:rsid w:val="00544695"/>
    <w:rsid w:val="0054633B"/>
    <w:rsid w:val="0055032F"/>
    <w:rsid w:val="00551CFB"/>
    <w:rsid w:val="005539AC"/>
    <w:rsid w:val="00554258"/>
    <w:rsid w:val="00554DB6"/>
    <w:rsid w:val="0055753F"/>
    <w:rsid w:val="005602C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20F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2272"/>
    <w:rsid w:val="005939FD"/>
    <w:rsid w:val="00593B43"/>
    <w:rsid w:val="00595269"/>
    <w:rsid w:val="0059600B"/>
    <w:rsid w:val="00597E39"/>
    <w:rsid w:val="005A07C1"/>
    <w:rsid w:val="005A1038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33D7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2C4F"/>
    <w:rsid w:val="005E5787"/>
    <w:rsid w:val="005E62AB"/>
    <w:rsid w:val="005E7908"/>
    <w:rsid w:val="005E79DB"/>
    <w:rsid w:val="005F0B25"/>
    <w:rsid w:val="005F22CE"/>
    <w:rsid w:val="005F26B2"/>
    <w:rsid w:val="005F33D7"/>
    <w:rsid w:val="005F5EE0"/>
    <w:rsid w:val="00600DDA"/>
    <w:rsid w:val="00600FFB"/>
    <w:rsid w:val="0060107B"/>
    <w:rsid w:val="0060340E"/>
    <w:rsid w:val="00604800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3144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47CC"/>
    <w:rsid w:val="00687A40"/>
    <w:rsid w:val="00690401"/>
    <w:rsid w:val="00691515"/>
    <w:rsid w:val="00691664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32E6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54F5"/>
    <w:rsid w:val="00716096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E5D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2F62"/>
    <w:rsid w:val="00775189"/>
    <w:rsid w:val="00775F92"/>
    <w:rsid w:val="00776B40"/>
    <w:rsid w:val="00776E61"/>
    <w:rsid w:val="00776FA8"/>
    <w:rsid w:val="0078007E"/>
    <w:rsid w:val="00780941"/>
    <w:rsid w:val="00780E4B"/>
    <w:rsid w:val="007811D3"/>
    <w:rsid w:val="0078227F"/>
    <w:rsid w:val="0078311B"/>
    <w:rsid w:val="00783152"/>
    <w:rsid w:val="00784155"/>
    <w:rsid w:val="007914D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0C47"/>
    <w:rsid w:val="007B101F"/>
    <w:rsid w:val="007B49A4"/>
    <w:rsid w:val="007B5A57"/>
    <w:rsid w:val="007B677E"/>
    <w:rsid w:val="007B73C7"/>
    <w:rsid w:val="007C0F6B"/>
    <w:rsid w:val="007C1B34"/>
    <w:rsid w:val="007C26AA"/>
    <w:rsid w:val="007C2A7E"/>
    <w:rsid w:val="007C36D0"/>
    <w:rsid w:val="007C44EF"/>
    <w:rsid w:val="007C4B38"/>
    <w:rsid w:val="007D1631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2893"/>
    <w:rsid w:val="0083382A"/>
    <w:rsid w:val="00833F0E"/>
    <w:rsid w:val="0083708E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502E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637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01D"/>
    <w:rsid w:val="008B029F"/>
    <w:rsid w:val="008B10C7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773E"/>
    <w:rsid w:val="008D791B"/>
    <w:rsid w:val="008D7D9A"/>
    <w:rsid w:val="008D7E09"/>
    <w:rsid w:val="008E04CE"/>
    <w:rsid w:val="008E08D5"/>
    <w:rsid w:val="008E09FC"/>
    <w:rsid w:val="008E1523"/>
    <w:rsid w:val="008E296D"/>
    <w:rsid w:val="008E3128"/>
    <w:rsid w:val="008E5540"/>
    <w:rsid w:val="008F118D"/>
    <w:rsid w:val="008F1B3B"/>
    <w:rsid w:val="008F6094"/>
    <w:rsid w:val="008F6673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5BD"/>
    <w:rsid w:val="009109A3"/>
    <w:rsid w:val="0091135A"/>
    <w:rsid w:val="009115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34A9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55B"/>
    <w:rsid w:val="00997EE1"/>
    <w:rsid w:val="009A0E60"/>
    <w:rsid w:val="009A10FE"/>
    <w:rsid w:val="009A48DE"/>
    <w:rsid w:val="009A5085"/>
    <w:rsid w:val="009A7838"/>
    <w:rsid w:val="009B21FF"/>
    <w:rsid w:val="009B3652"/>
    <w:rsid w:val="009B3728"/>
    <w:rsid w:val="009B50AD"/>
    <w:rsid w:val="009B7534"/>
    <w:rsid w:val="009C65F2"/>
    <w:rsid w:val="009C7E64"/>
    <w:rsid w:val="009D2337"/>
    <w:rsid w:val="009D2F8D"/>
    <w:rsid w:val="009D4823"/>
    <w:rsid w:val="009D5D2E"/>
    <w:rsid w:val="009D74A4"/>
    <w:rsid w:val="009E021D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3DE2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2F2"/>
    <w:rsid w:val="00A2414B"/>
    <w:rsid w:val="00A2521D"/>
    <w:rsid w:val="00A265FF"/>
    <w:rsid w:val="00A26868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6C8D"/>
    <w:rsid w:val="00A475A7"/>
    <w:rsid w:val="00A47CB6"/>
    <w:rsid w:val="00A51315"/>
    <w:rsid w:val="00A52713"/>
    <w:rsid w:val="00A54662"/>
    <w:rsid w:val="00A5485C"/>
    <w:rsid w:val="00A54F97"/>
    <w:rsid w:val="00A54FD2"/>
    <w:rsid w:val="00A55755"/>
    <w:rsid w:val="00A60A61"/>
    <w:rsid w:val="00A60D83"/>
    <w:rsid w:val="00A623B3"/>
    <w:rsid w:val="00A629D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0EDF"/>
    <w:rsid w:val="00A96E50"/>
    <w:rsid w:val="00A97C5F"/>
    <w:rsid w:val="00AA08B5"/>
    <w:rsid w:val="00AA2CD6"/>
    <w:rsid w:val="00AA602D"/>
    <w:rsid w:val="00AA6342"/>
    <w:rsid w:val="00AA6694"/>
    <w:rsid w:val="00AB12E1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0809"/>
    <w:rsid w:val="00AD250E"/>
    <w:rsid w:val="00AD2DD2"/>
    <w:rsid w:val="00AD2DDC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159B5"/>
    <w:rsid w:val="00B16E37"/>
    <w:rsid w:val="00B17CBE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4F37"/>
    <w:rsid w:val="00B4573B"/>
    <w:rsid w:val="00B45755"/>
    <w:rsid w:val="00B467E3"/>
    <w:rsid w:val="00B507FD"/>
    <w:rsid w:val="00B50F9D"/>
    <w:rsid w:val="00B5245B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03E"/>
    <w:rsid w:val="00B63664"/>
    <w:rsid w:val="00B645BF"/>
    <w:rsid w:val="00B6499A"/>
    <w:rsid w:val="00B64CD1"/>
    <w:rsid w:val="00B7219A"/>
    <w:rsid w:val="00B744CF"/>
    <w:rsid w:val="00B75882"/>
    <w:rsid w:val="00B75B2A"/>
    <w:rsid w:val="00B76730"/>
    <w:rsid w:val="00B8060F"/>
    <w:rsid w:val="00B810CC"/>
    <w:rsid w:val="00B82461"/>
    <w:rsid w:val="00B84A79"/>
    <w:rsid w:val="00B84DEF"/>
    <w:rsid w:val="00B87FAE"/>
    <w:rsid w:val="00B94D96"/>
    <w:rsid w:val="00B95F26"/>
    <w:rsid w:val="00B97E6D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BDD"/>
    <w:rsid w:val="00BB6FEC"/>
    <w:rsid w:val="00BB76D8"/>
    <w:rsid w:val="00BC2339"/>
    <w:rsid w:val="00BC3E09"/>
    <w:rsid w:val="00BC58CC"/>
    <w:rsid w:val="00BC59EB"/>
    <w:rsid w:val="00BC76FF"/>
    <w:rsid w:val="00BD0487"/>
    <w:rsid w:val="00BD051D"/>
    <w:rsid w:val="00BD249F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603A"/>
    <w:rsid w:val="00BF60C4"/>
    <w:rsid w:val="00BF6C79"/>
    <w:rsid w:val="00C0055B"/>
    <w:rsid w:val="00C04C96"/>
    <w:rsid w:val="00C04F80"/>
    <w:rsid w:val="00C06348"/>
    <w:rsid w:val="00C06854"/>
    <w:rsid w:val="00C10B23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35E50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08F7"/>
    <w:rsid w:val="00C50B43"/>
    <w:rsid w:val="00C51270"/>
    <w:rsid w:val="00C5295A"/>
    <w:rsid w:val="00C57736"/>
    <w:rsid w:val="00C60FCA"/>
    <w:rsid w:val="00C62159"/>
    <w:rsid w:val="00C62FAE"/>
    <w:rsid w:val="00C639F4"/>
    <w:rsid w:val="00C648B8"/>
    <w:rsid w:val="00C64FA6"/>
    <w:rsid w:val="00C66064"/>
    <w:rsid w:val="00C67007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5E62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6BE7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1149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2BF5"/>
    <w:rsid w:val="00D14F20"/>
    <w:rsid w:val="00D15B6C"/>
    <w:rsid w:val="00D16FE9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174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D84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52AE"/>
    <w:rsid w:val="00D85CBC"/>
    <w:rsid w:val="00D86090"/>
    <w:rsid w:val="00D87539"/>
    <w:rsid w:val="00D90353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C6C71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0CB9"/>
    <w:rsid w:val="00E21385"/>
    <w:rsid w:val="00E21B4D"/>
    <w:rsid w:val="00E23954"/>
    <w:rsid w:val="00E242A1"/>
    <w:rsid w:val="00E26228"/>
    <w:rsid w:val="00E26EF6"/>
    <w:rsid w:val="00E300B4"/>
    <w:rsid w:val="00E302EB"/>
    <w:rsid w:val="00E32F69"/>
    <w:rsid w:val="00E347A4"/>
    <w:rsid w:val="00E36883"/>
    <w:rsid w:val="00E36DC7"/>
    <w:rsid w:val="00E37984"/>
    <w:rsid w:val="00E41AA4"/>
    <w:rsid w:val="00E439FE"/>
    <w:rsid w:val="00E446BE"/>
    <w:rsid w:val="00E46727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BAB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18C"/>
    <w:rsid w:val="00ED6A91"/>
    <w:rsid w:val="00ED6E8A"/>
    <w:rsid w:val="00EE19F6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206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432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3B48"/>
    <w:rsid w:val="00F5467E"/>
    <w:rsid w:val="00F5627F"/>
    <w:rsid w:val="00F5735A"/>
    <w:rsid w:val="00F6059F"/>
    <w:rsid w:val="00F63A5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6F0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64DA"/>
    <w:rsid w:val="00F9749C"/>
    <w:rsid w:val="00F97CC2"/>
    <w:rsid w:val="00FA0917"/>
    <w:rsid w:val="00FA3109"/>
    <w:rsid w:val="00FA32BF"/>
    <w:rsid w:val="00FA3392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B5430"/>
    <w:rsid w:val="00FC04CD"/>
    <w:rsid w:val="00FC2406"/>
    <w:rsid w:val="00FC2468"/>
    <w:rsid w:val="00FC62EB"/>
    <w:rsid w:val="00FC66B1"/>
    <w:rsid w:val="00FD0054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19D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1E097-7412-4246-8B86-1EE276F3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2026-01-14T01:50:00Z</dcterms:created>
  <dcterms:modified xsi:type="dcterms:W3CDTF">2026-01-14T01:50:00Z</dcterms:modified>
  <cp:version>0900.0001.01</cp:version>
</cp:coreProperties>
</file>