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77777777" w:rsidR="009F61C8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로 중소기업 서비스 경쟁력 업그레이드</w:t>
      </w:r>
    </w:p>
    <w:p w14:paraId="16EA0402" w14:textId="55E21CF6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proofErr w:type="spellStart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완성차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내비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SW </w:t>
      </w: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전문기업인 </w:t>
      </w:r>
      <w:proofErr w:type="spellStart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텔레컨스와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차량용 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AI </w:t>
      </w: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탑재 T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HUD </w:t>
      </w: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서비스 </w:t>
      </w:r>
      <w:r w:rsidR="004F3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출시</w:t>
      </w:r>
    </w:p>
    <w:p w14:paraId="2AA87554" w14:textId="77DDEA6B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- </w:t>
      </w:r>
      <w:r w:rsidRPr="001676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2</w:t>
      </w:r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주간 진행된 사전 클라우드 </w:t>
      </w:r>
      <w:proofErr w:type="spellStart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펀딩에서</w:t>
      </w:r>
      <w:proofErr w:type="spellEnd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Pr="001676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2</w:t>
      </w:r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천여명 참여</w:t>
      </w:r>
      <w:r w:rsidR="00167646" w:rsidRPr="001676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167646"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및</w:t>
      </w:r>
      <w:r w:rsidRPr="001676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2</w:t>
      </w:r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억원이 넘는 </w:t>
      </w:r>
      <w:proofErr w:type="spellStart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펀딩</w:t>
      </w:r>
      <w:proofErr w:type="spellEnd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성과</w:t>
      </w:r>
    </w:p>
    <w:p w14:paraId="1BA9DEA0" w14:textId="77777777" w:rsidR="009F61C8" w:rsidRDefault="009F61C8" w:rsidP="009F61C8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T맵</w:t>
      </w:r>
      <w:r w:rsidRPr="00160894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x</w:t>
      </w:r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NUGU, 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NUGU auto</w:t>
      </w:r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에서 구현한 자동차 AI 경험을 </w:t>
      </w:r>
      <w:proofErr w:type="spellStart"/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애프터마켓으로</w:t>
      </w:r>
      <w:proofErr w:type="spellEnd"/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6459049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12. </w:t>
      </w:r>
      <w:r w:rsidR="00850D57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8D3019" w14:textId="7E62FC4A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www.sktelecom.com)은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완성차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내비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소프트웨어 전문기업인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텔레컨스와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차량용 Head Up Display(이하 HUD)의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서비스앱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앱명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: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MCon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)을 구글플레이(안드로이드) 및 앱스토어(iOS)에 </w:t>
      </w:r>
      <w:r w:rsidR="004F3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하고 T HUD 서비스를 출시했다.</w:t>
      </w:r>
    </w:p>
    <w:p w14:paraId="5A7AED32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EA8742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이번 T HUD 서비스는 지난 3월 15일, SKT가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텔레컨스와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맺은 차량용 HUD 서비스 개발 사업협약의 결과물로, 양사는 누구 소프트웨어 개발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킷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(이하 누구 SDK)을 탑재한 HUD 상용 서비스 상용 출시를 위해 9개월간 연구개발을 진행해 왔다. </w:t>
      </w:r>
    </w:p>
    <w:p w14:paraId="1853BEA1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FC4DD2F" w14:textId="77777777" w:rsidR="009F61C8" w:rsidRPr="00CA1B4D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기존 T HUD </w:t>
      </w:r>
      <w:proofErr w:type="spellStart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내비</w:t>
      </w:r>
      <w:proofErr w:type="spellEnd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서비스</w:t>
      </w:r>
      <w:r w:rsidRPr="00CA1B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앱을 터치하는 방식으로 HUD와 앱을 컨트롤</w:t>
      </w:r>
      <w:r w:rsidRPr="00CA1B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했지</w:t>
      </w: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만, 이번에 업그레이드된 T HUD는 누구 AI 서비스 탑재를 통해 음성인식으로 안전하고 원활하게 </w:t>
      </w:r>
      <w:proofErr w:type="spellStart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내비</w:t>
      </w:r>
      <w:proofErr w:type="spellEnd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서비스를 제공</w:t>
      </w:r>
      <w:r w:rsidRPr="00CA1B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수</w:t>
      </w: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있게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됐다</w:t>
      </w: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1E6644D8" w14:textId="3E251315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030370F" w14:textId="24F13DE4" w:rsidR="00167646" w:rsidRDefault="00167646" w:rsidP="00167646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현재 </w:t>
      </w:r>
      <w:r w:rsidRPr="00914D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</w:t>
      </w:r>
      <w:r w:rsidRPr="00914D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</w:t>
      </w:r>
      <w:r w:rsidRPr="00914D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누구</w:t>
      </w:r>
      <w:r w:rsidRPr="00914D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SDK 를 적용한 T HUD 서비스와 연동되는 HUD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디바이스</w:t>
      </w:r>
      <w:r w:rsidRPr="00914D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텔레컨스의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판매 협력사인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티플레이모빌리티의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"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말로하는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아리아 HUD Q "와 HL홀딩스의 "만도 HUD </w:t>
      </w:r>
      <w:r w:rsidR="004305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" 제품이며, 홈쇼핑 및 온라인, 오프라인 판매점 등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판매 중이다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4FC47E5B" w14:textId="77777777" w:rsidR="00167646" w:rsidRDefault="00167646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46BD41B" w14:textId="3067436D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‘안전 운전’을 지향하는 SKT의 자동차 전용 AI 플랫폼인 ‘누구 오토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NUGU auto)’ 서비스가 </w:t>
      </w:r>
      <w:proofErr w:type="spellStart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볼보자동차</w:t>
      </w:r>
      <w:proofErr w:type="spellEnd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등 </w:t>
      </w:r>
      <w:proofErr w:type="spellStart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비포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마켓</w:t>
      </w:r>
      <w:proofErr w:type="spellEnd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(Before-market)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서 서비스를 확대해 가고 있다면, T HUD서비스는 '안전운전 길안내 도우미'라는 컨셉으로 </w:t>
      </w:r>
      <w:proofErr w:type="spellStart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애프터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마켓</w:t>
      </w:r>
      <w:proofErr w:type="spellEnd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(After-market)에서 인공지능 HUD 서비스를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제공한다</w:t>
      </w:r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. </w:t>
      </w:r>
    </w:p>
    <w:p w14:paraId="47B4EE25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320CF39" w14:textId="16097828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운전자 입장에서 순정 HUD가 장착되지 않은 차량을 구입했더라도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애프터마켓에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서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145D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기존 </w:t>
      </w:r>
      <w:r w:rsidR="00145DD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HUD </w:t>
      </w:r>
      <w:r w:rsidR="00145D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서비스보다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안전성과 편리성이 우수한 서비스를 합리적인 가격으로 이용할 수 있다는 점에서 의미가 크다.</w:t>
      </w:r>
    </w:p>
    <w:p w14:paraId="1CBA5FA7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4F44803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C426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향후 </w:t>
      </w:r>
      <w:proofErr w:type="spellStart"/>
      <w:r w:rsidRPr="00C426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애프터마켓의</w:t>
      </w:r>
      <w:proofErr w:type="spellEnd"/>
      <w:r w:rsidRPr="00C426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또 다른 주요 디바이스인 블랙박스와의 연동을 통해 차량의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주행간 차선이탈,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전방추돌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앞차 출발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알림기능과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근접차량 감지/경고 등을 포함한 ADAS(첨단 안전운전 보조시스템)가 추가된 HUD 서비스도 기획 중이다.</w:t>
      </w:r>
    </w:p>
    <w:p w14:paraId="1A7B6A5E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BAC525F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텔레컨스는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SKT의 누구 AI 음성 서비스를 탑재한 제품(상품명: T play HUD Q)의 시장성을 검증하기 위해 클라우드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펀딩을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2주간 시행, 2억원이 넘는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펀딩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금액과 2천여명의 참여 서포터를 모집하는 성과를 냈다. </w:t>
      </w:r>
    </w:p>
    <w:p w14:paraId="6CE0BF28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51247AA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이를 바탕으로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텔레컨스는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2023년 이내 누적 30만명의 사용자 목표를 잡고있다.</w:t>
      </w:r>
    </w:p>
    <w:p w14:paraId="2953E80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FD048F9" w14:textId="0E540A76" w:rsidR="009F61C8" w:rsidRDefault="00990F1C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유영미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SK</w:t>
      </w:r>
      <w:r w:rsidR="0027716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0429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N</w:t>
      </w:r>
      <w:r w:rsidR="00A0429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UGU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O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담당은 “유망 중소 기업인 </w:t>
      </w:r>
      <w:proofErr w:type="spellStart"/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텔레컨스의</w:t>
      </w:r>
      <w:proofErr w:type="spellEnd"/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HUD서비스와 SKT의 AI 서비스가 결합되어 교통 사고 유발 최대 원인인 전방 주시 태만을 최소화하는</w:t>
      </w:r>
      <w:r w:rsidR="004C402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데 큰 기여를 할 수 있을 것으로 </w:t>
      </w:r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기대된다”</w:t>
      </w:r>
      <w:proofErr w:type="spellStart"/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며</w:t>
      </w:r>
      <w:proofErr w:type="spellEnd"/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“T맵</w:t>
      </w:r>
      <w:r w:rsidR="009F61C8" w:rsidRPr="005F3148">
        <w:rPr>
          <w:rFonts w:ascii="맑은 고딕" w:hAnsi="맑은 고딕" w:cs="굴림" w:hint="eastAsia"/>
          <w:color w:val="000000"/>
          <w:spacing w:val="-20"/>
          <w:sz w:val="26"/>
          <w:szCs w:val="26"/>
          <w:lang w:eastAsia="ko-KR" w:bidi="ar-SA"/>
        </w:rPr>
        <w:t>x</w:t>
      </w:r>
      <w:r w:rsidR="009F61C8" w:rsidRPr="005F3148">
        <w:rPr>
          <w:rFonts w:ascii="맑은 고딕" w:hAnsi="맑은 고딕" w:cs="굴림"/>
          <w:color w:val="000000"/>
          <w:spacing w:val="-20"/>
          <w:sz w:val="26"/>
          <w:szCs w:val="26"/>
          <w:lang w:eastAsia="ko-KR" w:bidi="ar-SA"/>
        </w:rPr>
        <w:t xml:space="preserve"> NUGU</w:t>
      </w:r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NUGU auto에 이어 </w:t>
      </w:r>
      <w:proofErr w:type="spellStart"/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애프터마켓으로</w:t>
      </w:r>
      <w:proofErr w:type="spellEnd"/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자동차 AI 경험을 확대해 가는 상생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협력의 우수 모델이 될 수 있도록 노력하겠다”고 말했다.</w:t>
      </w:r>
    </w:p>
    <w:p w14:paraId="548C63FA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8E460C3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highlight w:val="yellow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정임수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대표는 “SKT와 AI 기술 협력을 통해 HUD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애프터마켓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시장이 성장하는 계기가 되어 기쁘고</w:t>
      </w:r>
      <w:r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계속해서 관련 시장 확대를 위해 새로운 서비스들도 적극 추진할 계획이다” 라고 밝혔다.</w:t>
      </w:r>
    </w:p>
    <w:p w14:paraId="5C60E4BE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9F61C8" w14:paraId="29A1A349" w14:textId="77777777" w:rsidTr="00765BDD">
        <w:trPr>
          <w:trHeight w:val="1696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26F1" w14:textId="77777777" w:rsidR="009F61C8" w:rsidRDefault="009F61C8" w:rsidP="00765BDD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47C69DD4" w14:textId="63397EE9" w:rsidR="009F61C8" w:rsidRDefault="009F61C8" w:rsidP="00765BDD">
            <w:pPr>
              <w:widowControl w:val="0"/>
              <w:wordWrap w:val="0"/>
              <w:snapToGrid w:val="0"/>
              <w:spacing w:after="0" w:line="240" w:lineRule="auto"/>
              <w:ind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SK텔레콤(대표이사 사장 유영상,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www.sktelecom.com)은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완성차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내비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소프트웨어 전문기업인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텔레컨스와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차량용 Head Up Display(이하 HUD)의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서비스앱을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구글플레이(안드로이드) 및 앱스토어(iOS)에 </w:t>
            </w:r>
            <w:r w:rsidR="00B148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배포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하고 T HUD 서비스를 출시했다.</w:t>
            </w:r>
          </w:p>
        </w:tc>
      </w:tr>
    </w:tbl>
    <w:p w14:paraId="3901F61F" w14:textId="77777777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1B4BCB7F" w14:textId="77777777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PR1담당 혁신PR팀 김재익(0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             </w:t>
      </w:r>
    </w:p>
    <w:p w14:paraId="45CA7E82" w14:textId="77777777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46423FC" w14:textId="77777777" w:rsidR="009F61C8" w:rsidRDefault="009F61C8" w:rsidP="009F61C8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끝.</w:t>
      </w:r>
    </w:p>
    <w:p w14:paraId="1C40B98E" w14:textId="012AC1F4" w:rsidR="00F569EF" w:rsidRPr="009F61C8" w:rsidRDefault="00F569EF" w:rsidP="009F61C8">
      <w:pPr>
        <w:rPr>
          <w:rStyle w:val="af3"/>
          <w:color w:val="auto"/>
          <w:u w:val="none"/>
        </w:rPr>
      </w:pPr>
    </w:p>
    <w:sectPr w:rsidR="00F569EF" w:rsidRPr="009F61C8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9ADB" w14:textId="77777777" w:rsidR="00BE53A9" w:rsidRDefault="00BE53A9">
      <w:pPr>
        <w:spacing w:after="0" w:line="240" w:lineRule="auto"/>
      </w:pPr>
      <w:r>
        <w:separator/>
      </w:r>
    </w:p>
  </w:endnote>
  <w:endnote w:type="continuationSeparator" w:id="0">
    <w:p w14:paraId="4889A21E" w14:textId="77777777" w:rsidR="00BE53A9" w:rsidRDefault="00BE53A9">
      <w:pPr>
        <w:spacing w:after="0" w:line="240" w:lineRule="auto"/>
      </w:pPr>
      <w:r>
        <w:continuationSeparator/>
      </w:r>
    </w:p>
  </w:endnote>
  <w:endnote w:type="continuationNotice" w:id="1">
    <w:p w14:paraId="73865EF0" w14:textId="77777777" w:rsidR="00BE53A9" w:rsidRDefault="00BE5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>, 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9617" w14:textId="77777777" w:rsidR="00BE53A9" w:rsidRDefault="00BE53A9">
      <w:pPr>
        <w:spacing w:after="0" w:line="240" w:lineRule="auto"/>
      </w:pPr>
      <w:r>
        <w:separator/>
      </w:r>
    </w:p>
  </w:footnote>
  <w:footnote w:type="continuationSeparator" w:id="0">
    <w:p w14:paraId="2166E8BB" w14:textId="77777777" w:rsidR="00BE53A9" w:rsidRDefault="00BE53A9">
      <w:pPr>
        <w:spacing w:after="0" w:line="240" w:lineRule="auto"/>
      </w:pPr>
      <w:r>
        <w:continuationSeparator/>
      </w:r>
    </w:p>
  </w:footnote>
  <w:footnote w:type="continuationNotice" w:id="1">
    <w:p w14:paraId="4F74CAB0" w14:textId="77777777" w:rsidR="00BE53A9" w:rsidRDefault="00BE53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01D4"/>
    <w:rsid w:val="00012585"/>
    <w:rsid w:val="000127BB"/>
    <w:rsid w:val="000128B6"/>
    <w:rsid w:val="00013BFF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E2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61C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80E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754D2-58AB-4578-890B-64A2C19C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2022-11-22T04:24:00Z</dcterms:created>
  <dcterms:modified xsi:type="dcterms:W3CDTF">2022-12-15T02:30:00Z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