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48DC" w14:textId="39159E22" w:rsidR="00077921" w:rsidRDefault="00656C9B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양자암호통신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대중화 이끌</w:t>
      </w:r>
    </w:p>
    <w:p w14:paraId="7A509378" w14:textId="3272C64F" w:rsidR="00077921" w:rsidRPr="00D0069A" w:rsidRDefault="00656C9B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표준 수립 나선다</w:t>
      </w:r>
    </w:p>
    <w:p w14:paraId="0085BF7D" w14:textId="329BB997" w:rsidR="003E395D" w:rsidRPr="00077921" w:rsidRDefault="00B4042B" w:rsidP="00D0069A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proofErr w:type="spellStart"/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양자암호통신</w:t>
      </w:r>
      <w:proofErr w:type="spellEnd"/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관련 신기술 </w:t>
      </w:r>
      <w:r w:rsidR="007B55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2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건 </w:t>
      </w:r>
      <w:r w:rsidR="007B55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ITU-T 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국제표준화 과제로 채택</w:t>
      </w:r>
      <w:r w:rsidR="007B55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…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논의 거쳐 글로벌 표준 제정 전망</w:t>
      </w:r>
    </w:p>
    <w:p w14:paraId="605D6201" w14:textId="3DFC1697" w:rsidR="00376116" w:rsidRDefault="004E3948" w:rsidP="004E394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7B5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기존 통신망과 양자통신망 통합해 효율적으로 관리할 수 있는 시스템 제안</w:t>
      </w:r>
    </w:p>
    <w:p w14:paraId="4726C9A6" w14:textId="559E4A0C" w:rsidR="00376116" w:rsidRDefault="003E395D" w:rsidP="001E068A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 w:rsidR="00D41FF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상이한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사업자</w:t>
      </w:r>
      <w:r w:rsidR="00D41FF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의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proofErr w:type="spellStart"/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양자암호통신망</w:t>
      </w:r>
      <w:proofErr w:type="spellEnd"/>
      <w:r w:rsidR="00D41FF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연동하는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7B55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‘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양자 로밍</w:t>
      </w:r>
      <w:r w:rsidR="007B55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’ </w:t>
      </w:r>
      <w:r w:rsidR="007B55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기술 표준 작업도 승인</w:t>
      </w:r>
    </w:p>
    <w:p w14:paraId="348B995C" w14:textId="3F6560F3" w:rsidR="00AB04FF" w:rsidRPr="00E50948" w:rsidRDefault="00AB04FF" w:rsidP="001E068A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7F160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Q</w:t>
      </w:r>
      <w:r w:rsidR="007F160F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KD</w:t>
      </w:r>
      <w:r w:rsidR="007F160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부터</w:t>
      </w:r>
      <w:r w:rsidR="00CF5272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7F160F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QRNG, </w:t>
      </w:r>
      <w:proofErr w:type="spellStart"/>
      <w:r w:rsidR="007F160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양자센싱</w:t>
      </w:r>
      <w:proofErr w:type="spellEnd"/>
      <w:r w:rsidR="007F160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,</w:t>
      </w:r>
      <w:r w:rsidR="007F160F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PQC </w:t>
      </w:r>
      <w:r w:rsidR="007F160F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등 다양한 양자 영역 선두에서 생태계 리딩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58DD90" w:rsidR="00EB6134" w:rsidRPr="00D0069A" w:rsidRDefault="008B580C" w:rsidP="00D0069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DC971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E068A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0052F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 w:rsidR="00B5510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6C0430" w14:textId="5BA803F7" w:rsidR="001E068A" w:rsidRPr="001E068A" w:rsidRDefault="00CC35B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‘AI &amp; Digital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서비스 컴퍼니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SKT가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대중화의 초석</w:t>
      </w:r>
      <w:r w:rsidR="0074580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이룰 글로벌 기술 표준 수립</w:t>
      </w:r>
      <w:r w:rsidR="00745807">
        <w:rPr>
          <w:rFonts w:asciiTheme="majorHAnsi" w:eastAsiaTheme="majorHAnsi" w:hAnsiTheme="majorHAnsi" w:hint="eastAsia"/>
          <w:sz w:val="24"/>
          <w:szCs w:val="24"/>
          <w:lang w:eastAsia="ko-KR"/>
        </w:rPr>
        <w:t>에 나선다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5FE96041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1E8E02" w14:textId="570D3B5C" w:rsidR="001E068A" w:rsidRPr="001E068A" w:rsidRDefault="001E068A" w:rsidP="00B5510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r w:rsidR="006478C8">
        <w:fldChar w:fldCharType="begin"/>
      </w:r>
      <w:r w:rsidR="006478C8">
        <w:rPr>
          <w:lang w:eastAsia="ko-KR"/>
        </w:rPr>
        <w:instrText xml:space="preserve"> HYPERLINK "http://www.sktelecom.com" </w:instrText>
      </w:r>
      <w:r w:rsidR="006478C8">
        <w:fldChar w:fldCharType="separate"/>
      </w:r>
      <w:r w:rsidR="00B55107" w:rsidRPr="00B55107">
        <w:rPr>
          <w:rFonts w:hint="eastAsia"/>
          <w:lang w:eastAsia="ko-KR"/>
        </w:rPr>
        <w:t>www.sktelecom.com</w:t>
      </w:r>
      <w:r w:rsidR="006478C8">
        <w:rPr>
          <w:lang w:eastAsia="ko-KR"/>
        </w:rPr>
        <w:fldChar w:fldCharType="end"/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)은</w:t>
      </w:r>
      <w:r w:rsidR="00B551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스위스 제네바에서 열린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ITU-T* 회의에서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양자암호통신망의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관리와 연동에 대한 기술 2건을 제안해 국제표준화 과제로 채택됐다고</w:t>
      </w:r>
      <w:r w:rsidR="000052FD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B55107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밝혔다. 국제표준화 과제로 채택된 기술은 ITU-T </w:t>
      </w:r>
      <w:r w:rsidR="000C4C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내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수십여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 국가의 논의를 거친 뒤 글로벌 표준으로 제정된다.</w:t>
      </w:r>
    </w:p>
    <w:p w14:paraId="0A3AA7E4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i/>
          <w:iCs/>
          <w:sz w:val="20"/>
          <w:szCs w:val="20"/>
          <w:lang w:eastAsia="ko-KR"/>
        </w:rPr>
      </w:pPr>
      <w:r w:rsidRPr="001E068A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* 전기통신 관련 세계 최고 국제기구인 ITU의 산하기관으로 통신 분야의 표준을 정함</w:t>
      </w:r>
    </w:p>
    <w:p w14:paraId="07477C0C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6E7DE6" w14:textId="3F240F95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이번 ITU-T 회의에서 표준과제로 채택된 기술은 ▲</w:t>
      </w:r>
      <w:r w:rsidR="000C297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연동을 위한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통합 관리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SDN(Software Defined Network) 시스템</w:t>
      </w:r>
      <w:r w:rsidR="000C297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 w:rsidR="000C297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>연합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통신망</w:t>
      </w:r>
      <w:r w:rsidR="009D58E6" w:rsidRPr="002141FE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9D58E6" w:rsidRPr="002141FE">
        <w:rPr>
          <w:rFonts w:asciiTheme="majorHAnsi" w:eastAsiaTheme="majorHAnsi" w:hAnsiTheme="majorHAnsi"/>
          <w:sz w:val="24"/>
          <w:szCs w:val="24"/>
          <w:lang w:eastAsia="ko-KR"/>
        </w:rPr>
        <w:t>QKD Network Federation)</w:t>
      </w:r>
      <w:r w:rsidR="000C2971" w:rsidRPr="002141F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A54E33">
        <w:rPr>
          <w:rFonts w:asciiTheme="majorHAnsi" w:eastAsiaTheme="majorHAnsi" w:hAnsiTheme="majorHAnsi" w:hint="eastAsia"/>
          <w:color w:val="FF0000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2가지다. 두 기술 모두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기술의 확산을 위해 반드시 필요한 핵심 기술이다.</w:t>
      </w:r>
    </w:p>
    <w:p w14:paraId="15E0BA79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5E663B" w14:textId="7DF35FBE" w:rsidR="001E068A" w:rsidRPr="001E068A" w:rsidRDefault="000C2971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연동을 위한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통합 관리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SDN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시스템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통신사의 기존 통신망과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통합해 관리할 수 있게 도와주는 시스템이다. 이를 활용하면 통신사들은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별도로 관리할 필요 없이 기존 통신망과 통합해 효율적으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로 관리할 수 있다.</w:t>
      </w:r>
    </w:p>
    <w:p w14:paraId="6584E110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BB17C7" w14:textId="71E9CAD3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이번에 제안한 </w:t>
      </w:r>
      <w:r w:rsidR="00BE1FA4" w:rsidRPr="002141FE">
        <w:rPr>
          <w:rFonts w:asciiTheme="majorHAnsi" w:eastAsiaTheme="majorHAnsi" w:hAnsiTheme="majorHAnsi" w:hint="eastAsia"/>
          <w:sz w:val="24"/>
          <w:szCs w:val="24"/>
          <w:lang w:eastAsia="ko-KR"/>
        </w:rPr>
        <w:t>시스템(표준화 방안)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서로 다른 </w:t>
      </w:r>
      <w:r w:rsidR="005C479E" w:rsidRPr="002141FE">
        <w:rPr>
          <w:rFonts w:asciiTheme="majorHAnsi" w:eastAsiaTheme="majorHAnsi" w:hAnsiTheme="majorHAnsi" w:hint="eastAsia"/>
          <w:sz w:val="24"/>
          <w:szCs w:val="24"/>
          <w:lang w:eastAsia="ko-KR"/>
        </w:rPr>
        <w:t>장비</w:t>
      </w:r>
      <w:r w:rsidR="005C47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회사의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양자암호키분배기</w:t>
      </w:r>
      <w:proofErr w:type="spellEnd"/>
      <w:r w:rsidR="002D312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2D3123">
        <w:rPr>
          <w:rFonts w:asciiTheme="majorHAnsi" w:eastAsiaTheme="majorHAnsi" w:hAnsiTheme="majorHAnsi"/>
          <w:sz w:val="24"/>
          <w:szCs w:val="24"/>
          <w:lang w:eastAsia="ko-KR"/>
        </w:rPr>
        <w:t>QKD)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활용한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양자암호통신망까지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 관리할 수 있다는 점에서 더욱 큰 의미가 있다. 이 시스템을 활용하면 통신사들이 복수의 장비사들과 함께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구축할 수 있기 때문에 </w:t>
      </w:r>
      <w:proofErr w:type="spellStart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생태계 확대에도 가속도가 붙을 것으로 기대된다.</w:t>
      </w:r>
    </w:p>
    <w:p w14:paraId="658BF586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56F36A" w14:textId="02212D87" w:rsidR="001E068A" w:rsidRPr="001E068A" w:rsidRDefault="000C2971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연합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통신망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기술은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로밍에 비유할 수 있다. 로밍이 서로 다른 국가간 망을 연동해 국경을 초월한 통신 서비스를 제공하는 것처럼 서로 다른 사업자의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연동해 서로 다른 사업자가 구축한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양자암호통신망에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접속한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고객</w:t>
      </w:r>
      <w:r w:rsidR="00745807">
        <w:rPr>
          <w:rFonts w:asciiTheme="majorHAnsi" w:eastAsiaTheme="majorHAnsi" w:hAnsiTheme="majorHAnsi" w:hint="eastAsia"/>
          <w:sz w:val="24"/>
          <w:szCs w:val="24"/>
          <w:lang w:eastAsia="ko-KR"/>
        </w:rPr>
        <w:t>간에도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 기반의 안전한 통신 서비스를 제공</w:t>
      </w:r>
      <w:r w:rsidR="00745807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있다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33C50C44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6913AB" w14:textId="5C870C88" w:rsidR="006D738D" w:rsidRPr="00701E8D" w:rsidRDefault="006D738D" w:rsidP="00DE08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기존에는 동일한 사업자의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양자암호통신망에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접속한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사용자간에만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 기반 통신이 가능했다. 하지만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연합 표준이 완성돼 상용화되면 서로 다른 사업자의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사용하는 고객간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양자암호통신도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가능해져 보다 많은 고객이 안전한 통신 서비스를 누리게 된다. 또한 국가 양자암호 기간통신망과 통신사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양자암호통신망을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연합하여 </w:t>
      </w:r>
      <w:r w:rsidR="008D115D"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위급 상황에서 </w:t>
      </w:r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공동 로밍도 가능해진다</w:t>
      </w:r>
    </w:p>
    <w:p w14:paraId="02590EFA" w14:textId="77777777" w:rsidR="00DE084F" w:rsidRPr="00DE084F" w:rsidRDefault="00DE084F" w:rsidP="00DE08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248E38" w14:textId="77777777" w:rsidR="006D738D" w:rsidRPr="00701E8D" w:rsidRDefault="006D738D" w:rsidP="00DE08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 나아가 지상과 위성이 연결되는 6G시대에는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연합 기술을 통해 위성 통신 사업자와 연합한 </w:t>
      </w:r>
      <w:proofErr w:type="spellStart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701E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제공도 가능해질 것으로 기대된다.</w:t>
      </w:r>
    </w:p>
    <w:p w14:paraId="3502741C" w14:textId="77777777" w:rsidR="003662D7" w:rsidRPr="006D738D" w:rsidRDefault="003662D7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AF98E7" w14:textId="60D3D2C8" w:rsidR="000C2971" w:rsidRDefault="00A46665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C297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0C29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타 국가 및 기관과 협력해 </w:t>
      </w:r>
      <w:proofErr w:type="spell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양자암호통신망의</w:t>
      </w:r>
      <w:proofErr w:type="spellEnd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연동 구조에 </w:t>
      </w:r>
      <w:proofErr w:type="gram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대한</w:t>
      </w:r>
      <w:r w:rsidR="0047507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표준화</w:t>
      </w:r>
      <w:proofErr w:type="gramEnd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작업 추진도 승인 받았다.</w:t>
      </w:r>
    </w:p>
    <w:p w14:paraId="275137DF" w14:textId="77777777" w:rsidR="000C2971" w:rsidRDefault="000C2971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498690" w14:textId="6173BE80" w:rsidR="00A46665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0" w:name="_GoBack"/>
      <w:bookmarkEnd w:id="0"/>
      <w:r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A4666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국내에서 유일하게 </w:t>
      </w:r>
      <w:proofErr w:type="spell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양자암호통신망은</w:t>
      </w:r>
      <w:proofErr w:type="spellEnd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물론 </w:t>
      </w:r>
      <w:proofErr w:type="spell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양자난수생성기</w:t>
      </w:r>
      <w:proofErr w:type="spellEnd"/>
      <w:r w:rsidR="00AB04FF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AB04FF">
        <w:rPr>
          <w:rFonts w:asciiTheme="majorHAnsi" w:eastAsiaTheme="majorHAnsi" w:hAnsiTheme="majorHAnsi"/>
          <w:sz w:val="24"/>
          <w:szCs w:val="24"/>
          <w:lang w:eastAsia="ko-KR"/>
        </w:rPr>
        <w:t>QRNG)</w:t>
      </w:r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70B7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양자센싱</w:t>
      </w:r>
      <w:proofErr w:type="spellEnd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70B7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</w:t>
      </w:r>
      <w:proofErr w:type="spellEnd"/>
      <w:r w:rsidR="00AB04FF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AB04FF">
        <w:rPr>
          <w:rFonts w:asciiTheme="majorHAnsi" w:eastAsiaTheme="majorHAnsi" w:hAnsiTheme="majorHAnsi"/>
          <w:sz w:val="24"/>
          <w:szCs w:val="24"/>
          <w:lang w:eastAsia="ko-KR"/>
        </w:rPr>
        <w:t>PQC)</w:t>
      </w:r>
      <w:r w:rsidR="00D70B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A46665">
        <w:rPr>
          <w:rFonts w:asciiTheme="majorHAnsi" w:eastAsiaTheme="majorHAnsi" w:hAnsiTheme="majorHAnsi" w:hint="eastAsia"/>
          <w:sz w:val="24"/>
          <w:szCs w:val="24"/>
          <w:lang w:eastAsia="ko-KR"/>
        </w:rPr>
        <w:t>양자 기술 전반의 영역에서 연구와 사업을 추진하며 양자 생태계 발전을 선도하는 기업이다.</w:t>
      </w:r>
    </w:p>
    <w:p w14:paraId="24777C70" w14:textId="16ED979A" w:rsidR="00A46665" w:rsidRDefault="00A46665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781C78" w14:textId="5FB63FC1" w:rsidR="001E068A" w:rsidRPr="001E068A" w:rsidRDefault="00A46665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SKB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컨소시엄</w:t>
      </w:r>
      <w:r w:rsidR="00627A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</w:t>
      </w:r>
      <w:r w:rsidR="00627A29">
        <w:rPr>
          <w:rFonts w:asciiTheme="majorHAnsi" w:eastAsiaTheme="majorHAnsi" w:hAnsiTheme="majorHAnsi"/>
          <w:sz w:val="24"/>
          <w:szCs w:val="24"/>
          <w:lang w:eastAsia="ko-KR"/>
        </w:rPr>
        <w:t xml:space="preserve">ID </w:t>
      </w:r>
      <w:proofErr w:type="spellStart"/>
      <w:r w:rsidR="00627A29">
        <w:rPr>
          <w:rFonts w:asciiTheme="majorHAnsi" w:eastAsiaTheme="majorHAnsi" w:hAnsiTheme="majorHAnsi"/>
          <w:sz w:val="24"/>
          <w:szCs w:val="24"/>
          <w:lang w:eastAsia="ko-KR"/>
        </w:rPr>
        <w:t>Quantique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과기정통부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사업을 수행하며 총 17개 공공, 의료, 산업분야에서 </w:t>
      </w:r>
      <w:proofErr w:type="spellStart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시범인프라를 구축하고 응용서비스를 발굴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또한 국내 암호분야 강소기업들과 함께 국방 및 공공시장 진출을 추진하고 있다.</w:t>
      </w:r>
    </w:p>
    <w:p w14:paraId="2CE8F658" w14:textId="77777777" w:rsidR="001E068A" w:rsidRPr="001E068A" w:rsidRDefault="001E068A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3D3F6B" w14:textId="55EC3C55" w:rsidR="00637843" w:rsidRDefault="009A272F" w:rsidP="001E06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하민용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혁신사업T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F </w:t>
      </w:r>
      <w:r w:rsidR="001E068A" w:rsidRPr="001E068A">
        <w:rPr>
          <w:rFonts w:asciiTheme="majorHAnsi" w:eastAsiaTheme="majorHAnsi" w:hAnsiTheme="majorHAnsi" w:hint="eastAsia"/>
          <w:sz w:val="24"/>
          <w:szCs w:val="24"/>
          <w:lang w:eastAsia="ko-KR"/>
        </w:rPr>
        <w:t>담당(CDO)은</w:t>
      </w:r>
      <w:r w:rsidR="001E0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68A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국제표준화 과제로 채택된 과제는 </w:t>
      </w:r>
      <w:proofErr w:type="spellStart"/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>양</w:t>
      </w:r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자암호통신의</w:t>
      </w:r>
      <w:proofErr w:type="spellEnd"/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대중화를 이끌 핵심 기술</w:t>
      </w:r>
      <w:r w:rsidR="00745807">
        <w:rPr>
          <w:rFonts w:asciiTheme="majorHAnsi" w:eastAsiaTheme="majorHAnsi" w:hAnsiTheme="majorHAnsi" w:hint="eastAsia"/>
          <w:sz w:val="24"/>
          <w:szCs w:val="24"/>
          <w:lang w:eastAsia="ko-KR"/>
        </w:rPr>
        <w:t>이라는</w:t>
      </w:r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점에서 큰 의미가 있다</w:t>
      </w:r>
      <w:r w:rsidR="0085572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5572E">
        <w:rPr>
          <w:rFonts w:asciiTheme="majorHAnsi" w:eastAsiaTheme="majorHAnsi" w:hAnsiTheme="majorHAnsi"/>
          <w:sz w:val="24"/>
          <w:szCs w:val="24"/>
          <w:lang w:eastAsia="ko-KR"/>
        </w:rPr>
        <w:t>“SKT</w:t>
      </w:r>
      <w:r w:rsidR="0085572E">
        <w:rPr>
          <w:rFonts w:asciiTheme="majorHAnsi" w:eastAsiaTheme="majorHAnsi" w:hAnsiTheme="majorHAnsi" w:hint="eastAsia"/>
          <w:sz w:val="24"/>
          <w:szCs w:val="24"/>
          <w:lang w:eastAsia="ko-KR"/>
        </w:rPr>
        <w:t>는 국제표준화 작업을 비롯 서비스 발굴</w:t>
      </w:r>
      <w:r w:rsidR="007B554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사업화를 지속 추진해 양자 생태계 발전을 선도할 것</w:t>
      </w:r>
      <w:r w:rsidR="007B5548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B554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04664FE7" w14:textId="77777777" w:rsidR="000C1244" w:rsidRDefault="000C1244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581BB948" w:rsidR="00F909A6" w:rsidRDefault="00F909A6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E1EE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4E1EE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32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7C9554E5" w14:textId="5267DD84" w:rsidR="00691664" w:rsidRPr="004E1EEB" w:rsidRDefault="00691664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0069A" w14:paraId="0BDD7989" w14:textId="77777777" w:rsidTr="00A76D9E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BED" w14:textId="77777777" w:rsidR="00D0069A" w:rsidRDefault="00D0069A" w:rsidP="00A76D9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00FD57" w14:textId="77777777" w:rsidR="00D0069A" w:rsidRDefault="001E068A" w:rsidP="00A76D9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E068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 w:rsidR="00B5510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스위스 제네바에서 열린 </w:t>
            </w:r>
            <w:r w:rsidRPr="001E068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ITU-T 회의에서 </w:t>
            </w:r>
            <w:proofErr w:type="spellStart"/>
            <w:r w:rsidRPr="001E068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양자암호통신망의</w:t>
            </w:r>
            <w:proofErr w:type="spellEnd"/>
            <w:r w:rsidRPr="001E068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관리와 연동에 대한 기술 2건을 제안해 국제표준화 과제로 채택됐다고</w:t>
            </w:r>
            <w:r w:rsidR="000052F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0052F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B5510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8</w:t>
            </w:r>
            <w:r w:rsidRPr="001E068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</w:p>
          <w:p w14:paraId="33E308DB" w14:textId="3DFD1089" w:rsidR="00410F3B" w:rsidRDefault="0016505E" w:rsidP="0046217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A37AF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&lt;사진 </w:t>
            </w:r>
            <w:r w:rsidRPr="00A37AFB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1&gt;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ITU-T SG</w:t>
            </w:r>
            <w:r w:rsidR="00410F3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(Study Group)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13회의에 </w:t>
            </w:r>
            <w:r w:rsidR="00410F3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참석한 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 </w:t>
            </w:r>
            <w:proofErr w:type="spellStart"/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심동희</w:t>
            </w:r>
            <w:proofErr w:type="spellEnd"/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팀장이 표준</w:t>
            </w:r>
            <w:r w:rsidR="004621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화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과제</w:t>
            </w:r>
            <w:r w:rsidR="0085370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제안</w:t>
            </w:r>
            <w:r w:rsidR="008F555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하고 있다.</w:t>
            </w:r>
          </w:p>
          <w:p w14:paraId="57665526" w14:textId="1DE8D77E" w:rsidR="00844EB6" w:rsidRPr="006D1D24" w:rsidRDefault="00410F3B" w:rsidP="00A76D9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A37AFB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&lt;</w:t>
            </w:r>
            <w:r w:rsidRPr="00A37AF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사진 </w:t>
            </w:r>
            <w:r w:rsidRPr="00A37AFB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2</w:t>
            </w:r>
            <w:r w:rsidR="005E7C22" w:rsidRPr="00A37AFB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&gt;</w:t>
            </w:r>
            <w:r w:rsidR="005E7C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ITU-T SG13 회의에서 SK텔레콤 </w:t>
            </w:r>
            <w:proofErr w:type="spellStart"/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심동희</w:t>
            </w:r>
            <w:proofErr w:type="spellEnd"/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5E7C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팀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</w:t>
            </w:r>
            <w:r w:rsidR="005E7C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(왼쪽에서 두번째)</w:t>
            </w:r>
            <w:r w:rsidR="00844EB6" w:rsidRPr="004047A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 SG13의장단과 </w:t>
            </w:r>
            <w:r w:rsidR="005E7C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함께 찍은 사진.</w:t>
            </w:r>
            <w:r w:rsidR="005E7C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C379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카주노리</w:t>
            </w:r>
            <w:proofErr w:type="spellEnd"/>
            <w:r w:rsidR="00FC379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C379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타니카와</w:t>
            </w:r>
            <w:proofErr w:type="spellEnd"/>
            <w:r w:rsidR="00FC379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</w:t>
            </w:r>
            <w:r w:rsidR="00162CFE" w:rsidRPr="00162CF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Kazunori Tanikawa</w:t>
            </w:r>
            <w:r w:rsidR="00FC379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SG13 </w:t>
            </w:r>
            <w:r w:rsidR="00FC379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의장(</w:t>
            </w:r>
            <w:r w:rsidR="005E7C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왼쪽에서 </w:t>
            </w:r>
            <w:r w:rsidR="00A37AF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세번째)</w:t>
            </w:r>
          </w:p>
        </w:tc>
      </w:tr>
    </w:tbl>
    <w:p w14:paraId="15B2E37D" w14:textId="77777777" w:rsidR="00D0069A" w:rsidRPr="00EC7F1D" w:rsidRDefault="00D0069A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5CD9C" w14:textId="77777777" w:rsidR="006478C8" w:rsidRDefault="006478C8">
      <w:pPr>
        <w:spacing w:after="0" w:line="240" w:lineRule="auto"/>
      </w:pPr>
      <w:r>
        <w:separator/>
      </w:r>
    </w:p>
  </w:endnote>
  <w:endnote w:type="continuationSeparator" w:id="0">
    <w:p w14:paraId="29A8E206" w14:textId="77777777" w:rsidR="006478C8" w:rsidRDefault="0064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19F70E30" w:rsidR="00885E7E" w:rsidRDefault="00885E7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E7BA7" w14:textId="77777777" w:rsidR="006478C8" w:rsidRDefault="006478C8">
      <w:pPr>
        <w:spacing w:after="0" w:line="240" w:lineRule="auto"/>
      </w:pPr>
      <w:r>
        <w:separator/>
      </w:r>
    </w:p>
  </w:footnote>
  <w:footnote w:type="continuationSeparator" w:id="0">
    <w:p w14:paraId="68CBE4D0" w14:textId="77777777" w:rsidR="006478C8" w:rsidRDefault="00647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52FD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77921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3FE1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2971"/>
    <w:rsid w:val="000C39E7"/>
    <w:rsid w:val="000C4C11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4EE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17D8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2CFE"/>
    <w:rsid w:val="0016505E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A799F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68A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1FE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5E0B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56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23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5471"/>
    <w:rsid w:val="002E7D0D"/>
    <w:rsid w:val="002F05E0"/>
    <w:rsid w:val="002F167C"/>
    <w:rsid w:val="002F1CA8"/>
    <w:rsid w:val="002F2A42"/>
    <w:rsid w:val="002F4522"/>
    <w:rsid w:val="002F609E"/>
    <w:rsid w:val="002F61F3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47A9E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62D7"/>
    <w:rsid w:val="00367101"/>
    <w:rsid w:val="00367632"/>
    <w:rsid w:val="00370284"/>
    <w:rsid w:val="00370675"/>
    <w:rsid w:val="00371D08"/>
    <w:rsid w:val="00373808"/>
    <w:rsid w:val="003758C3"/>
    <w:rsid w:val="00376116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47A7"/>
    <w:rsid w:val="00405AC0"/>
    <w:rsid w:val="00406EFB"/>
    <w:rsid w:val="00407AD9"/>
    <w:rsid w:val="004107BF"/>
    <w:rsid w:val="00410F3B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179"/>
    <w:rsid w:val="00462644"/>
    <w:rsid w:val="00465836"/>
    <w:rsid w:val="0047240B"/>
    <w:rsid w:val="00473768"/>
    <w:rsid w:val="0047507E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40B"/>
    <w:rsid w:val="004D4DCE"/>
    <w:rsid w:val="004D541F"/>
    <w:rsid w:val="004D65F3"/>
    <w:rsid w:val="004D6BF5"/>
    <w:rsid w:val="004D6F0E"/>
    <w:rsid w:val="004D7FF9"/>
    <w:rsid w:val="004E1BCF"/>
    <w:rsid w:val="004E1EEB"/>
    <w:rsid w:val="004E3128"/>
    <w:rsid w:val="004E394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4D5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79E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E7C22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A29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478C8"/>
    <w:rsid w:val="00651A58"/>
    <w:rsid w:val="006566A9"/>
    <w:rsid w:val="00656C9B"/>
    <w:rsid w:val="00657033"/>
    <w:rsid w:val="0065757C"/>
    <w:rsid w:val="00660087"/>
    <w:rsid w:val="00660E76"/>
    <w:rsid w:val="00661E72"/>
    <w:rsid w:val="006633D3"/>
    <w:rsid w:val="00663493"/>
    <w:rsid w:val="00664119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D738D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1E8D"/>
    <w:rsid w:val="00702A19"/>
    <w:rsid w:val="00703981"/>
    <w:rsid w:val="00703E34"/>
    <w:rsid w:val="007047FF"/>
    <w:rsid w:val="00707C33"/>
    <w:rsid w:val="0071042D"/>
    <w:rsid w:val="00712E96"/>
    <w:rsid w:val="0071357F"/>
    <w:rsid w:val="007154DD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1DE5"/>
    <w:rsid w:val="00732487"/>
    <w:rsid w:val="00734206"/>
    <w:rsid w:val="0073443C"/>
    <w:rsid w:val="00734715"/>
    <w:rsid w:val="00734E5D"/>
    <w:rsid w:val="007408E5"/>
    <w:rsid w:val="00741C40"/>
    <w:rsid w:val="00743914"/>
    <w:rsid w:val="00743919"/>
    <w:rsid w:val="007453BA"/>
    <w:rsid w:val="00745807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548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160F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EB6"/>
    <w:rsid w:val="00845CE9"/>
    <w:rsid w:val="00846117"/>
    <w:rsid w:val="00847E7B"/>
    <w:rsid w:val="00850494"/>
    <w:rsid w:val="0085070F"/>
    <w:rsid w:val="00850AE6"/>
    <w:rsid w:val="00851480"/>
    <w:rsid w:val="00853703"/>
    <w:rsid w:val="00853FBC"/>
    <w:rsid w:val="008556CF"/>
    <w:rsid w:val="0085572E"/>
    <w:rsid w:val="00855CB6"/>
    <w:rsid w:val="008560E5"/>
    <w:rsid w:val="0085625F"/>
    <w:rsid w:val="008571B0"/>
    <w:rsid w:val="00857F7E"/>
    <w:rsid w:val="008609B3"/>
    <w:rsid w:val="00860E32"/>
    <w:rsid w:val="00861144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4999"/>
    <w:rsid w:val="008C5F47"/>
    <w:rsid w:val="008C7E15"/>
    <w:rsid w:val="008D115D"/>
    <w:rsid w:val="008D1898"/>
    <w:rsid w:val="008D27BA"/>
    <w:rsid w:val="008D35C0"/>
    <w:rsid w:val="008D3C83"/>
    <w:rsid w:val="008D40DF"/>
    <w:rsid w:val="008D4B7B"/>
    <w:rsid w:val="008D6C69"/>
    <w:rsid w:val="008D791B"/>
    <w:rsid w:val="008D7D9A"/>
    <w:rsid w:val="008D7E09"/>
    <w:rsid w:val="008E04CE"/>
    <w:rsid w:val="008E08D5"/>
    <w:rsid w:val="008E09FC"/>
    <w:rsid w:val="008E296D"/>
    <w:rsid w:val="008E3128"/>
    <w:rsid w:val="008E443F"/>
    <w:rsid w:val="008E5540"/>
    <w:rsid w:val="008F1B3B"/>
    <w:rsid w:val="008F27BD"/>
    <w:rsid w:val="008F5556"/>
    <w:rsid w:val="008F5BF5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1983"/>
    <w:rsid w:val="009A272F"/>
    <w:rsid w:val="009A48DE"/>
    <w:rsid w:val="009A5085"/>
    <w:rsid w:val="009A769F"/>
    <w:rsid w:val="009A7838"/>
    <w:rsid w:val="009B21FF"/>
    <w:rsid w:val="009B3652"/>
    <w:rsid w:val="009B50AD"/>
    <w:rsid w:val="009C65F2"/>
    <w:rsid w:val="009C7E64"/>
    <w:rsid w:val="009D2F8D"/>
    <w:rsid w:val="009D4823"/>
    <w:rsid w:val="009D58E6"/>
    <w:rsid w:val="009D5D2E"/>
    <w:rsid w:val="009D74A4"/>
    <w:rsid w:val="009E0911"/>
    <w:rsid w:val="009E4518"/>
    <w:rsid w:val="009E4BBB"/>
    <w:rsid w:val="009E6017"/>
    <w:rsid w:val="009E6476"/>
    <w:rsid w:val="009F0365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37AFB"/>
    <w:rsid w:val="00A40283"/>
    <w:rsid w:val="00A41D26"/>
    <w:rsid w:val="00A42667"/>
    <w:rsid w:val="00A430E0"/>
    <w:rsid w:val="00A43F50"/>
    <w:rsid w:val="00A46665"/>
    <w:rsid w:val="00A475A7"/>
    <w:rsid w:val="00A47CB6"/>
    <w:rsid w:val="00A506F2"/>
    <w:rsid w:val="00A51315"/>
    <w:rsid w:val="00A52713"/>
    <w:rsid w:val="00A5485C"/>
    <w:rsid w:val="00A54E33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04FF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107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A7E30"/>
    <w:rsid w:val="00BB02DF"/>
    <w:rsid w:val="00BB13A8"/>
    <w:rsid w:val="00BB2840"/>
    <w:rsid w:val="00BB2D6D"/>
    <w:rsid w:val="00BB3578"/>
    <w:rsid w:val="00BB53C7"/>
    <w:rsid w:val="00BB5FEC"/>
    <w:rsid w:val="00BB6FEC"/>
    <w:rsid w:val="00BC2339"/>
    <w:rsid w:val="00BC2602"/>
    <w:rsid w:val="00BC3E09"/>
    <w:rsid w:val="00BC58CC"/>
    <w:rsid w:val="00BC59EB"/>
    <w:rsid w:val="00BC76FF"/>
    <w:rsid w:val="00BD0487"/>
    <w:rsid w:val="00BD2D5A"/>
    <w:rsid w:val="00BD442C"/>
    <w:rsid w:val="00BD62A1"/>
    <w:rsid w:val="00BD6B1E"/>
    <w:rsid w:val="00BD7062"/>
    <w:rsid w:val="00BD77A4"/>
    <w:rsid w:val="00BE0195"/>
    <w:rsid w:val="00BE0FC7"/>
    <w:rsid w:val="00BE1FA4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483"/>
    <w:rsid w:val="00C33838"/>
    <w:rsid w:val="00C34EF1"/>
    <w:rsid w:val="00C35268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35BA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5272"/>
    <w:rsid w:val="00CF5E2D"/>
    <w:rsid w:val="00CF6C03"/>
    <w:rsid w:val="00D0069A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1FFF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0B78"/>
    <w:rsid w:val="00D71024"/>
    <w:rsid w:val="00D7266B"/>
    <w:rsid w:val="00D74A51"/>
    <w:rsid w:val="00D74CD3"/>
    <w:rsid w:val="00D75993"/>
    <w:rsid w:val="00D77C18"/>
    <w:rsid w:val="00D77DCB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4056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084F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FF5"/>
    <w:rsid w:val="00FB2715"/>
    <w:rsid w:val="00FB2B96"/>
    <w:rsid w:val="00FB3D17"/>
    <w:rsid w:val="00FB4E4B"/>
    <w:rsid w:val="00FC04CD"/>
    <w:rsid w:val="00FC2406"/>
    <w:rsid w:val="00FC2468"/>
    <w:rsid w:val="00FC379F"/>
    <w:rsid w:val="00FC62EB"/>
    <w:rsid w:val="00FC66B1"/>
    <w:rsid w:val="00FD4603"/>
    <w:rsid w:val="00FD528C"/>
    <w:rsid w:val="00FD6300"/>
    <w:rsid w:val="00FD6EA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1E15-C732-4C30-ABBE-306E50DB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2022-07-17T04:13:00Z</dcterms:created>
  <dcterms:modified xsi:type="dcterms:W3CDTF">2022-07-17T23:36:00Z</dcterms:modified>
  <cp:version>0900.0001.01</cp:version>
</cp:coreProperties>
</file>