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6290" w14:textId="413A9C1A" w:rsidR="005218F7" w:rsidRDefault="005218F7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5218F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SK텔레콤 2021년 연간 실적 발표</w:t>
      </w:r>
    </w:p>
    <w:p w14:paraId="77DE09C9" w14:textId="13DA980C" w:rsidR="00B50F9D" w:rsidRDefault="00F5627F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견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조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한 실적 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토대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1E9665B4" w14:textId="58952ED9" w:rsidR="005218F7" w:rsidRPr="00DF32AB" w:rsidRDefault="00F5627F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성장</w:t>
      </w:r>
      <w:r w:rsidR="00B5401C" w:rsidRP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ㆍ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혁신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가속화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및</w:t>
      </w:r>
      <w:r w:rsidR="009B50A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주주가치 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제고 나선다</w:t>
      </w:r>
    </w:p>
    <w:bookmarkEnd w:id="0"/>
    <w:p w14:paraId="289D363B" w14:textId="5A55D94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매출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16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7,486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억원,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영업이익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3,872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억원,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순이익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4,190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</w:t>
      </w:r>
    </w:p>
    <w:p w14:paraId="42AE9B35" w14:textId="06859195" w:rsidR="001A31D4" w:rsidRPr="00DC2B2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5</w:t>
      </w:r>
      <w:r w:rsidR="004953D4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G 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누적 고객 </w:t>
      </w:r>
      <w:r w:rsidR="004953D4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1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천만</w:t>
      </w:r>
      <w:r w:rsidR="003F720F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명 돌파</w:t>
      </w:r>
      <w:r w:rsidR="004953D4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… </w:t>
      </w:r>
      <w:r w:rsidR="000939E3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SKB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C33838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I</w:t>
      </w:r>
      <w:r w:rsidR="00C33838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PTV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순증 </w:t>
      </w:r>
      <w:r w:rsidR="00456680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1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위,</w:t>
      </w:r>
      <w:r w:rsidR="00456680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SK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스토아도 고</w:t>
      </w:r>
      <w:r w:rsidR="00DC2B2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속성장</w:t>
      </w:r>
    </w:p>
    <w:p w14:paraId="05595DAF" w14:textId="25B1BBFF" w:rsidR="001A31D4" w:rsidRPr="000939E3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33D3" w:rsidRPr="00F2371B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5</w:t>
      </w:r>
      <w:r w:rsidR="006633D3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대 사업群 중심으로 </w:t>
      </w:r>
      <w:r w:rsidR="003900EA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업(業) 재정의</w:t>
      </w:r>
      <w:r w:rsidR="00B0492B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…</w:t>
      </w:r>
      <w:r w:rsidR="00F2371B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AB1B22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혁신 </w:t>
      </w:r>
      <w:r w:rsidR="00F2371B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가속화</w:t>
      </w:r>
      <w:r w:rsidR="003900EA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하고</w:t>
      </w:r>
      <w:r w:rsidR="000939E3" w:rsidRPr="00F2371B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939E3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주주</w:t>
      </w:r>
      <w:r w:rsidR="00797AFD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친화</w:t>
      </w:r>
      <w:r w:rsidR="003900EA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경영</w:t>
      </w:r>
      <w:r w:rsidR="000939E3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F2371B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지속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3752B1" w14:textId="77777777" w:rsidR="006461B4" w:rsidRDefault="008B580C" w:rsidP="006461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  <w:p w14:paraId="437B6187" w14:textId="2DC6AAE3" w:rsidR="00096325" w:rsidRDefault="00096325" w:rsidP="0009632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컨퍼런스콜은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CEO Investor Day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로 대체됩니다.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금일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시행 예정입니다.</w:t>
            </w:r>
          </w:p>
          <w:p w14:paraId="506BC08A" w14:textId="76053AD0" w:rsidR="00096325" w:rsidRPr="00CD3C71" w:rsidRDefault="00096325" w:rsidP="0009632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접속 </w:t>
            </w:r>
            <w:r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URL : </w:t>
            </w:r>
            <w:r w:rsidRPr="0009632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https://irsvc.teletogether.com/skt/skt2021Q4_kor.php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3C6C6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18F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18F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836C8C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연결 재무제표 기준 2021년 연간 매출 16조 7,486억원, 영업이익 1조 3,872억원, 순이익 2조 4,190억원의 실적을 기록했다고 9일 밝혔다.</w:t>
      </w:r>
    </w:p>
    <w:p w14:paraId="46E7FEF1" w14:textId="2A014713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4D73533" w14:textId="69744187" w:rsidR="00F2371B" w:rsidRDefault="00EC35A6" w:rsidP="00EC35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NO,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PTV, 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커머스 등 전 사업 영역의 고른 성장을 통해 전년 대비 연결 기준 매출과 영업이익은 각각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4.1%, 11.1% 성장했다.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순이익은 </w:t>
      </w:r>
      <w:r w:rsidR="00AB1B22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하이닉스의 지분법 이익으로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전년 대비 61.2% 증가한 2조 4,190억원이다.</w:t>
      </w:r>
    </w:p>
    <w:p w14:paraId="5C85625E" w14:textId="77777777" w:rsidR="00EC35A6" w:rsidRPr="00F2371B" w:rsidRDefault="00EC35A6" w:rsidP="00EC35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20922F" w14:textId="4D2EB8BA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 5G 누적 고객 1천만</w:t>
      </w:r>
      <w:r w:rsidR="003F72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명 돌파… SKB</w:t>
      </w:r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="00C33838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IPTV </w:t>
      </w:r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순증 </w:t>
      </w:r>
      <w:r w:rsidR="00C33838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1</w:t>
      </w:r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위,</w:t>
      </w:r>
      <w:r w:rsidR="00C33838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SK</w:t>
      </w:r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스토아도 고속성장</w:t>
      </w:r>
    </w:p>
    <w:p w14:paraId="2F94F8CE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0119C79D" w14:textId="3619E89A" w:rsidR="00F2371B" w:rsidRPr="00F2371B" w:rsidRDefault="00EC35A6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2022년 1월 5G 누적 고객 1천만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명을 돌파하는 등 이동통신사업 리더십을 공고히 하며 </w:t>
      </w:r>
      <w:r w:rsidR="00AB1B22">
        <w:rPr>
          <w:rFonts w:asciiTheme="majorHAnsi" w:eastAsiaTheme="majorHAnsi" w:hAnsiTheme="majorHAnsi"/>
          <w:sz w:val="24"/>
          <w:szCs w:val="24"/>
          <w:lang w:eastAsia="ko-KR"/>
        </w:rPr>
        <w:t>2021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별도 기준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매출은 전년 대비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DB54C1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% 성장한 1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1,028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억원, 영업이익은 8.9% 증가한 1조 1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14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기록했다.</w:t>
      </w:r>
    </w:p>
    <w:p w14:paraId="79EC43EF" w14:textId="77777777" w:rsidR="005E030A" w:rsidRPr="00F2371B" w:rsidRDefault="005E030A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2F4780" w14:textId="2BA580DD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SK브로드밴드는 전년 대비 9</w:t>
      </w:r>
      <w:r w:rsidR="003F720F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% 증가한 4조 4</w:t>
      </w:r>
      <w:r w:rsidR="008B1B19">
        <w:rPr>
          <w:rFonts w:asciiTheme="majorHAnsi" w:eastAsiaTheme="majorHAnsi" w:hAnsiTheme="majorHAnsi"/>
          <w:sz w:val="24"/>
          <w:szCs w:val="24"/>
          <w:lang w:eastAsia="ko-KR"/>
        </w:rPr>
        <w:t>92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억원의 매출을 기록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역대 최고 실적을 달성했다. 영업이익은 전년 대비 19.4% 증가한 2,756억원을 기록했다. SK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브로드밴드는 2021년 2분기부터 3분기 연속 </w:t>
      </w:r>
      <w:r w:rsidR="00C33838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C33838">
        <w:rPr>
          <w:rFonts w:asciiTheme="majorHAnsi" w:eastAsiaTheme="majorHAnsi" w:hAnsiTheme="majorHAnsi"/>
          <w:sz w:val="24"/>
          <w:szCs w:val="24"/>
          <w:lang w:eastAsia="ko-KR"/>
        </w:rPr>
        <w:t>PT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>V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가입자 순증 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>위를 달성했다.</w:t>
      </w:r>
    </w:p>
    <w:p w14:paraId="49D6DAC2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529315A0" w14:textId="7E6AA5ED" w:rsidR="00F2371B" w:rsidRDefault="00F2371B" w:rsidP="005E030A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SK스토아도 T커머스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*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시장에서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매출 기준 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>위 자리를 지키고 있다.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>스토아는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>2021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판매액(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GMV</w:t>
      </w:r>
      <w:r w:rsidR="003F720F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Gross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Merchandise Volume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 xml:space="preserve"> 1.3조원을 </w:t>
      </w:r>
      <w:r w:rsidR="00033787">
        <w:rPr>
          <w:rFonts w:asciiTheme="majorHAnsi" w:eastAsiaTheme="majorHAnsi" w:hAnsiTheme="majorHAnsi" w:hint="eastAsia"/>
          <w:sz w:val="24"/>
          <w:szCs w:val="24"/>
          <w:lang w:eastAsia="ko-KR"/>
        </w:rPr>
        <w:t>기록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하며</w:t>
      </w:r>
      <w:r w:rsidR="000337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2018년 이후 연평균 48%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가파른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세를 이어가는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중이다.</w:t>
      </w:r>
    </w:p>
    <w:p w14:paraId="5113FF81" w14:textId="14121190" w:rsidR="00EC35A6" w:rsidRPr="003F720F" w:rsidRDefault="00EC35A6" w:rsidP="005E030A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00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  <w:r w:rsidRPr="003F720F">
        <w:rPr>
          <w:rFonts w:asciiTheme="majorHAnsi" w:eastAsiaTheme="majorHAnsi" w:hAnsiTheme="majorHAnsi" w:hint="eastAsia"/>
          <w:sz w:val="20"/>
          <w:szCs w:val="24"/>
          <w:lang w:eastAsia="ko-KR"/>
        </w:rPr>
        <w:t>*</w:t>
      </w:r>
      <w:r w:rsidRPr="003F720F">
        <w:rPr>
          <w:rFonts w:asciiTheme="majorHAnsi" w:eastAsiaTheme="majorHAnsi" w:hAnsiTheme="majorHAnsi"/>
          <w:sz w:val="20"/>
          <w:szCs w:val="24"/>
          <w:lang w:eastAsia="ko-KR"/>
        </w:rPr>
        <w:t xml:space="preserve"> </w:t>
      </w:r>
      <w:r w:rsidRPr="003F720F">
        <w:rPr>
          <w:rFonts w:asciiTheme="majorHAnsi" w:eastAsiaTheme="majorHAnsi" w:hAnsiTheme="majorHAnsi" w:hint="eastAsia"/>
          <w:sz w:val="20"/>
          <w:szCs w:val="24"/>
          <w:lang w:eastAsia="ko-KR"/>
        </w:rPr>
        <w:t>T</w:t>
      </w:r>
      <w:r w:rsidRPr="003F720F">
        <w:rPr>
          <w:rFonts w:asciiTheme="majorHAnsi" w:eastAsiaTheme="majorHAnsi" w:hAnsiTheme="majorHAnsi"/>
          <w:sz w:val="20"/>
          <w:szCs w:val="24"/>
          <w:lang w:eastAsia="ko-KR"/>
        </w:rPr>
        <w:t>V</w:t>
      </w:r>
      <w:r w:rsidRPr="003F720F">
        <w:rPr>
          <w:rFonts w:asciiTheme="majorHAnsi" w:eastAsiaTheme="majorHAnsi" w:hAnsiTheme="majorHAnsi" w:hint="eastAsia"/>
          <w:sz w:val="20"/>
          <w:szCs w:val="24"/>
          <w:lang w:eastAsia="ko-KR"/>
        </w:rPr>
        <w:t>를 통한 상거래</w:t>
      </w:r>
    </w:p>
    <w:p w14:paraId="4563EEE5" w14:textId="01C7BEA4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D09ABD" w14:textId="01A9F58D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35"/>
        <w:jc w:val="both"/>
        <w:rPr>
          <w:rFonts w:asciiTheme="majorHAnsi" w:eastAsiaTheme="majorHAnsi" w:hAnsiTheme="majorHAnsi"/>
          <w:b/>
          <w:bCs/>
          <w:w w:val="98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b/>
          <w:bCs/>
          <w:w w:val="98"/>
          <w:sz w:val="24"/>
          <w:szCs w:val="24"/>
          <w:lang w:eastAsia="ko-KR"/>
        </w:rPr>
        <w:t>■ 5대 사업群 중심으로 업(業) 재정의해 혁신 가속화하고 주주친화경영 지속 추진</w:t>
      </w:r>
    </w:p>
    <w:p w14:paraId="3A408327" w14:textId="36D91A04" w:rsidR="00DA0757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531E6404" w14:textId="7576244B" w:rsidR="001E4574" w:rsidRDefault="001E457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AI&amp;Digital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컴퍼니로의 전환을 선언한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올해를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2.0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시대의 원년이자 미래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년을 준비하는 해로 삼는다.</w:t>
      </w:r>
    </w:p>
    <w:p w14:paraId="40C54B7D" w14:textId="77777777" w:rsidR="001E4574" w:rsidRDefault="001E457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632557" w14:textId="189F8630" w:rsidR="00F2371B" w:rsidRPr="00F2371B" w:rsidRDefault="001E457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견조한 실적을 바탕으로 </w:t>
      </w:r>
      <w:r w:rsidR="003F720F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▲유무선 통신 ▲미디어 사업 ▲Enterprise 사업 ▲AIVERSE ▲Connected intelligence 등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5대 사업群을 중심으로 업(業)을 재정의해 미래 성장을 가속화하는 것과 동시에 주주친화경영 기조도 유지한다.</w:t>
      </w:r>
    </w:p>
    <w:p w14:paraId="159C4FBA" w14:textId="3709B579" w:rsid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CEEB578" w14:textId="51172428" w:rsidR="00EC7F1D" w:rsidRDefault="00EC7F1D" w:rsidP="00EC7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D2EF10" wp14:editId="40BF694A">
            <wp:extent cx="4412690" cy="3352800"/>
            <wp:effectExtent l="0" t="0" r="698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7119" cy="337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6EEF3" w14:textId="77777777" w:rsidR="00EC7F1D" w:rsidRPr="00EC7F1D" w:rsidRDefault="00EC7F1D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197B44" w14:textId="3C3FE9D6" w:rsidR="00AB1B22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유무선 통신 사업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5G 리더십을 기반으로 SK브로드밴드와의 시너지를 통해 경쟁력을 강화할 계획이다. 미디어 사업은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유료방송 가입자 증가에 따른 플랫폼 경쟁력을 </w:t>
      </w:r>
      <w:r w:rsidR="00EC35A6">
        <w:rPr>
          <w:rFonts w:asciiTheme="majorHAnsi" w:eastAsiaTheme="majorHAnsi" w:hAnsiTheme="majorHAnsi" w:hint="eastAsia"/>
          <w:sz w:val="24"/>
          <w:szCs w:val="24"/>
          <w:lang w:eastAsia="ko-KR"/>
        </w:rPr>
        <w:t>콘텐츠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, T커머스, 광고 사업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의 영역으로 확장시킬 예정이다.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43C921D3" w14:textId="77777777" w:rsidR="00AB1B22" w:rsidRDefault="00AB1B22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452C244" w14:textId="049ADAD0" w:rsidR="002A5294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Enterprise 사업은 데이터센터의 규모 확대와 글로벌 진출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A5294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5G MEC 기술을 활용한 </w:t>
      </w:r>
      <w:r w:rsidR="002A5294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클라우드 서비스를 통해 디지털 인프라 사업 고도화에 나선다.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 xml:space="preserve">B2B 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영역에서도 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>를 중심으로 스마트팩토리 사업 확장도 적극 추진할 계획이다.</w:t>
      </w:r>
    </w:p>
    <w:p w14:paraId="009A1D87" w14:textId="6121BF8B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5E789D" w14:textId="73AC3D6C" w:rsidR="002A5294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AIVERSE(AI와 Universe의 합성어) 사업은 ‘T우주’와 ‘이프랜드(ifland)’의 혁신과 함께 AI </w:t>
      </w:r>
      <w:r w:rsidR="0099729B">
        <w:rPr>
          <w:rFonts w:asciiTheme="majorHAnsi" w:eastAsiaTheme="majorHAnsi" w:hAnsiTheme="majorHAnsi" w:hint="eastAsia"/>
          <w:sz w:val="24"/>
          <w:szCs w:val="24"/>
          <w:lang w:eastAsia="ko-KR"/>
        </w:rPr>
        <w:t>기반의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새로운 서비스를 선보일 계획이다. </w:t>
      </w:r>
    </w:p>
    <w:p w14:paraId="42A90F39" w14:textId="77777777" w:rsidR="002A5294" w:rsidRDefault="002A529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6EEAB2" w14:textId="5E514A25" w:rsidR="0068340A" w:rsidRDefault="0068340A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개월 만에 총 상품 판매액(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GMV, Gross Merchandise Volume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3,500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억원을 달성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하고 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>번가 내 해외 직구 거래액</w:t>
      </w:r>
      <w:r w:rsidR="00916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="0091650C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91650C">
        <w:rPr>
          <w:rFonts w:asciiTheme="majorHAnsi" w:eastAsiaTheme="majorHAnsi" w:hAnsiTheme="majorHAnsi" w:hint="eastAsia"/>
          <w:sz w:val="24"/>
          <w:szCs w:val="24"/>
          <w:lang w:eastAsia="ko-KR"/>
        </w:rPr>
        <w:t>배 증가하는 등 시장에 성공적으로 안착했다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‘T우주’는 </w:t>
      </w:r>
      <w:r w:rsidR="00887E51">
        <w:rPr>
          <w:rFonts w:asciiTheme="majorHAnsi" w:eastAsiaTheme="majorHAnsi" w:hAnsiTheme="majorHAnsi"/>
          <w:sz w:val="24"/>
          <w:szCs w:val="24"/>
          <w:lang w:eastAsia="ko-KR"/>
        </w:rPr>
        <w:t>20~40</w:t>
      </w:r>
      <w:r w:rsidR="00887E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가입자가 </w:t>
      </w:r>
      <w:r w:rsidR="00887E51">
        <w:rPr>
          <w:rFonts w:asciiTheme="majorHAnsi" w:eastAsiaTheme="majorHAnsi" w:hAnsiTheme="majorHAnsi"/>
          <w:sz w:val="24"/>
          <w:szCs w:val="24"/>
          <w:lang w:eastAsia="ko-KR"/>
        </w:rPr>
        <w:t>70%</w:t>
      </w:r>
      <w:r w:rsidR="00887E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차지하는 등 젊은 층을 중심으로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가입자가 빠르게 증가하고 있</w:t>
      </w:r>
      <w:r w:rsidR="00887E51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향후 아마존 상품 확대, 공유/선물 기능 등을 추가해 고객 편의성을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지속 개선할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 </w:t>
      </w:r>
    </w:p>
    <w:p w14:paraId="50705DFC" w14:textId="77777777" w:rsidR="0068340A" w:rsidRDefault="0068340A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6B6370" w14:textId="73A6DFED" w:rsid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MAU(월간 실 사용자 수) 1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0만을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돌파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‘이프랜드’는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D710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 </w:t>
      </w:r>
      <w:r w:rsidR="00D71024" w:rsidRPr="00D71024">
        <w:rPr>
          <w:rFonts w:asciiTheme="majorHAnsi" w:eastAsiaTheme="majorHAnsi" w:hAnsiTheme="majorHAnsi" w:hint="eastAsia"/>
          <w:sz w:val="24"/>
          <w:szCs w:val="24"/>
          <w:lang w:eastAsia="ko-KR"/>
        </w:rPr>
        <w:t>·</w:t>
      </w:r>
      <w:r w:rsidR="00D710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기관으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로부터 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>1,500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 이상의 제휴 요청을 받으며 </w:t>
      </w:r>
      <w:r w:rsidR="0091650C">
        <w:rPr>
          <w:rFonts w:asciiTheme="majorHAnsi" w:eastAsiaTheme="majorHAnsi" w:hAnsiTheme="majorHAnsi" w:hint="eastAsia"/>
          <w:sz w:val="24"/>
          <w:szCs w:val="24"/>
          <w:lang w:eastAsia="ko-KR"/>
        </w:rPr>
        <w:t>큰 관심을 받았다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외부 파트너가 참여 가능한 개방형 플랫폼과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자체 경제 시스템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등을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도입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글로벌 진출을 추진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성장세를 이어나갈 계획이다.</w:t>
      </w:r>
    </w:p>
    <w:p w14:paraId="39D29DA6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5FF6C61A" w14:textId="2BBA8AED" w:rsid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UAM, 자율주행차, 로봇 등 미래 디바이스를 연결하는 Connected intelligence 사업을 통해 미래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혁신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가속화하고 향후 10년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성장 동력 개발에 박차를 가하고 있다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SKT는 UAM 사업에서 조비(Joby) 등 강력한 글로벌 업체와 초협력을 </w:t>
      </w:r>
      <w:r w:rsidR="003C5D09">
        <w:rPr>
          <w:rFonts w:asciiTheme="majorHAnsi" w:eastAsiaTheme="majorHAnsi" w:hAnsiTheme="majorHAnsi" w:hint="eastAsia"/>
          <w:sz w:val="24"/>
          <w:szCs w:val="24"/>
          <w:lang w:eastAsia="ko-KR"/>
        </w:rPr>
        <w:t>추진하고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정부 실증 사업에 참여하</w:t>
      </w:r>
      <w:r w:rsidR="003C5D09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UAM 시장 선점</w:t>
      </w:r>
      <w:r w:rsidR="003C5D09">
        <w:rPr>
          <w:rFonts w:asciiTheme="majorHAnsi" w:eastAsiaTheme="majorHAnsi" w:hAnsiTheme="majorHAnsi" w:hint="eastAsia"/>
          <w:sz w:val="24"/>
          <w:szCs w:val="24"/>
          <w:lang w:eastAsia="ko-KR"/>
        </w:rPr>
        <w:t>에 나서고 있다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5B0EF671" w14:textId="68114409" w:rsidR="0091650C" w:rsidRDefault="0091650C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1ABF0C" w14:textId="351CEEBC" w:rsidR="00F2371B" w:rsidRDefault="00610A86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견조한 재무성과를 바탕으로 주주친화경영 기조도 이어간다.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0F7A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F7ADC" w:rsidRPr="000F7ADC">
        <w:rPr>
          <w:rFonts w:asciiTheme="majorHAnsi" w:eastAsiaTheme="majorHAnsi" w:hAnsiTheme="majorHAnsi" w:hint="eastAsia"/>
          <w:sz w:val="24"/>
          <w:szCs w:val="24"/>
          <w:lang w:eastAsia="ko-KR"/>
        </w:rPr>
        <w:t>‘EBITDA(법인세 이자 감가상각비 차감 전 영업이익) – CapEx(설비투자)’의 30~40% 수준을 배당재원으로 설정</w:t>
      </w:r>
      <w:r w:rsidR="000F7A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 배당의 투명성과 예측 가능성을 높이고 지난해 </w:t>
      </w:r>
      <w:r w:rsidR="000F7ADC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0F7ADC">
        <w:rPr>
          <w:rFonts w:asciiTheme="majorHAnsi" w:eastAsiaTheme="majorHAnsi" w:hAnsiTheme="majorHAnsi" w:hint="eastAsia"/>
          <w:sz w:val="24"/>
          <w:szCs w:val="24"/>
          <w:lang w:eastAsia="ko-KR"/>
        </w:rPr>
        <w:t>분기말부터 시행한 분기배당도 지속한다.</w:t>
      </w:r>
    </w:p>
    <w:p w14:paraId="0B5C8848" w14:textId="31FF67E8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61A776" w14:textId="1755B42D" w:rsidR="004B3378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SKT </w:t>
      </w:r>
      <w:r w:rsidR="00EA7BDB">
        <w:rPr>
          <w:rFonts w:asciiTheme="majorHAnsi" w:eastAsiaTheme="majorHAnsi" w:hAnsiTheme="majorHAnsi" w:hint="eastAsia"/>
          <w:sz w:val="24"/>
          <w:szCs w:val="24"/>
          <w:lang w:eastAsia="ko-KR"/>
        </w:rPr>
        <w:t>C</w:t>
      </w:r>
      <w:r w:rsidR="00EA7BDB">
        <w:rPr>
          <w:rFonts w:asciiTheme="majorHAnsi" w:eastAsiaTheme="majorHAnsi" w:hAnsiTheme="majorHAnsi"/>
          <w:sz w:val="24"/>
          <w:szCs w:val="24"/>
          <w:lang w:eastAsia="ko-KR"/>
        </w:rPr>
        <w:t>EO</w:t>
      </w:r>
      <w:r w:rsidR="00EA7BDB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“‘21년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에는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MNO 사업과 함께 </w:t>
      </w:r>
      <w:r w:rsidR="00DC2B24">
        <w:rPr>
          <w:rFonts w:asciiTheme="majorHAnsi" w:eastAsiaTheme="majorHAnsi" w:hAnsiTheme="majorHAnsi"/>
          <w:sz w:val="24"/>
          <w:szCs w:val="24"/>
          <w:lang w:eastAsia="ko-KR"/>
        </w:rPr>
        <w:t>IPTV, T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>커머스</w:t>
      </w:r>
      <w:r w:rsidR="00DC2B2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모든 사업분야에서 고른 성장을 지속했다”며 “올해에는 5대 사업군을 중심으로 업을 재정의해 성장과 혁신을 가속화하고 주주가치를 높여 ‘25년 </w:t>
      </w:r>
      <w:r w:rsidR="00D852AE">
        <w:rPr>
          <w:rFonts w:asciiTheme="majorHAnsi" w:eastAsiaTheme="majorHAnsi" w:hAnsiTheme="majorHAnsi" w:hint="eastAsia"/>
          <w:sz w:val="24"/>
          <w:szCs w:val="24"/>
          <w:lang w:eastAsia="ko-KR"/>
        </w:rPr>
        <w:t>매출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C4AEA">
        <w:rPr>
          <w:rFonts w:asciiTheme="majorHAnsi" w:eastAsiaTheme="majorHAnsi" w:hAnsiTheme="majorHAnsi"/>
          <w:sz w:val="24"/>
          <w:szCs w:val="24"/>
          <w:lang w:eastAsia="ko-KR"/>
        </w:rPr>
        <w:t>23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조를 달성하겠다”고 말했다.</w:t>
      </w:r>
    </w:p>
    <w:p w14:paraId="243567B7" w14:textId="77777777" w:rsid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5B28FF3" w14:textId="483447DC" w:rsid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8B5A515" w14:textId="77777777" w:rsidR="00952091" w:rsidRPr="00952091" w:rsidRDefault="00952091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7E0D473" w14:textId="77777777" w:rsidR="004A54EA" w:rsidRPr="0003329A" w:rsidRDefault="004A54EA" w:rsidP="004A54E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lastRenderedPageBreak/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6B473F7C" w14:textId="77777777" w:rsidR="004A54EA" w:rsidRDefault="004A54EA" w:rsidP="004A54E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75B6811" w14:textId="77777777" w:rsidR="004A54EA" w:rsidRPr="0003329A" w:rsidRDefault="004A54EA" w:rsidP="004A54E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  <w:gridCol w:w="1248"/>
      </w:tblGrid>
      <w:tr w:rsidR="004A54EA" w:rsidRPr="0003329A" w14:paraId="22FF9331" w14:textId="77777777" w:rsidTr="00666379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B41CEE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C6BE9D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8B5318" w14:textId="77777777" w:rsidR="004A54EA" w:rsidRPr="0003329A" w:rsidRDefault="004A54EA" w:rsidP="00666379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대비(QoQ)</w:t>
            </w:r>
          </w:p>
        </w:tc>
      </w:tr>
      <w:tr w:rsidR="004A54EA" w:rsidRPr="0003329A" w14:paraId="3739B28B" w14:textId="77777777" w:rsidTr="00666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7F9D" w14:textId="77777777" w:rsidR="004A54EA" w:rsidRPr="0003329A" w:rsidRDefault="004A54EA" w:rsidP="00666379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28872" w14:textId="0E89DCF3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A95228" w14:textId="4B8215A9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C1B315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FFEB59" w14:textId="20B8A04C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46A15" w14:textId="6949AAE1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967CAC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4A54EA" w:rsidRPr="0003329A" w14:paraId="35484E53" w14:textId="77777777" w:rsidTr="004A54E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5317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5F8" w14:textId="12DEBED5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67,486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20C" w14:textId="1D81E86F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60,877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717" w14:textId="0CB8FA69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33C" w14:textId="3C6B06AF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2,978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8E9" w14:textId="3B79322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2,126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19D" w14:textId="33DD12D0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54EA" w:rsidRPr="0003329A" w14:paraId="3746213D" w14:textId="77777777" w:rsidTr="004A54E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B46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D18" w14:textId="4B4BBD5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3,872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232" w14:textId="7C780D54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2,486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ECA" w14:textId="1A928D7C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ED1" w14:textId="1CBC68CD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,26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40B" w14:textId="2CCE001B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,90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BE52" w14:textId="5C231D37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42.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54EA" w:rsidRPr="0003329A" w14:paraId="339F4153" w14:textId="77777777" w:rsidTr="004A54E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E5A6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587" w14:textId="6B8D78E0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4,190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D09" w14:textId="023E2C80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5,005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8D0" w14:textId="6979FD7A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58A" w14:textId="0EB18A3C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7AC" w14:textId="6BAE6F7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,365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F3A" w14:textId="7B14E021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57.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7F99CB0A" w14:textId="09BA25CE" w:rsidR="004A54EA" w:rsidRDefault="004A54EA" w:rsidP="004A54E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bookmarkStart w:id="2" w:name="_Hlk63184344"/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  <w:r w:rsidR="006A7B47" w:rsidRPr="006A7B47">
        <w:rPr>
          <w:rFonts w:ascii="맑은 고딕" w:hAnsi="맑은 고딕" w:hint="eastAsia"/>
          <w:b/>
          <w:bCs/>
          <w:sz w:val="20"/>
          <w:szCs w:val="24"/>
          <w:lang w:eastAsia="ko-KR"/>
        </w:rPr>
        <w:t>(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인적 분할을 반영해 </w:t>
      </w:r>
      <w:r w:rsidR="00C46FAF">
        <w:rPr>
          <w:rFonts w:ascii="맑은 고딕" w:hAnsi="맑은 고딕" w:hint="eastAsia"/>
          <w:b/>
          <w:bCs/>
          <w:sz w:val="20"/>
          <w:szCs w:val="24"/>
          <w:lang w:eastAsia="ko-KR"/>
        </w:rPr>
        <w:t>과거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 실적을 재산정했습니다</w:t>
      </w:r>
      <w:r w:rsidR="006A7B47" w:rsidRPr="006A7B47">
        <w:rPr>
          <w:rFonts w:ascii="맑은 고딕" w:hAnsi="맑은 고딕"/>
          <w:b/>
          <w:bCs/>
          <w:sz w:val="20"/>
          <w:szCs w:val="24"/>
          <w:lang w:eastAsia="ko-KR"/>
        </w:rPr>
        <w:t>)</w:t>
      </w:r>
    </w:p>
    <w:bookmarkEnd w:id="2"/>
    <w:p w14:paraId="4A0F402F" w14:textId="77777777" w:rsidR="004A54EA" w:rsidRPr="00C46FAF" w:rsidRDefault="004A54EA" w:rsidP="004A54E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461E2729" w14:textId="77777777" w:rsidR="004A54EA" w:rsidRPr="0003329A" w:rsidRDefault="004A54EA" w:rsidP="004A54E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235"/>
        <w:gridCol w:w="1236"/>
        <w:gridCol w:w="1227"/>
        <w:gridCol w:w="1188"/>
        <w:gridCol w:w="1187"/>
        <w:gridCol w:w="1247"/>
      </w:tblGrid>
      <w:tr w:rsidR="004A54EA" w:rsidRPr="0003329A" w14:paraId="48E3D4CE" w14:textId="77777777" w:rsidTr="00666379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D132CE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96B352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6A2A42" w14:textId="77777777" w:rsidR="004A54EA" w:rsidRPr="0003329A" w:rsidRDefault="004A54EA" w:rsidP="00666379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대비(QoQ)</w:t>
            </w:r>
          </w:p>
        </w:tc>
      </w:tr>
      <w:tr w:rsidR="004A54EA" w:rsidRPr="0003329A" w14:paraId="43A4BEEA" w14:textId="77777777" w:rsidTr="00666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D0D4" w14:textId="77777777" w:rsidR="004A54EA" w:rsidRPr="0003329A" w:rsidRDefault="004A54EA" w:rsidP="00666379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C347BC" w14:textId="4735DC69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A3AE4C" w14:textId="5033BAA5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625985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114132" w14:textId="7DEAD4C9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FEFB00" w14:textId="481B9501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EFEEB0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4A54EA" w:rsidRPr="0003329A" w14:paraId="5B698BBD" w14:textId="77777777" w:rsidTr="004A54EA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DCD8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909" w14:textId="740AC38D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21,028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B73" w14:textId="4B40494B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17,</w:t>
            </w:r>
            <w:r w:rsidR="00816B2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1B3" w14:textId="13263CA7" w:rsidR="004A54EA" w:rsidRPr="0003329A" w:rsidRDefault="00816B21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3.0</w:t>
            </w:r>
            <w:r w:rsidR="005539A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F57" w14:textId="4828473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1E2" w14:textId="01A9890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433" w14:textId="1E80493E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.5%</w:t>
            </w:r>
          </w:p>
        </w:tc>
      </w:tr>
      <w:tr w:rsidR="004A54EA" w:rsidRPr="0003329A" w14:paraId="75E38526" w14:textId="77777777" w:rsidTr="004A54EA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A8E0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3B2" w14:textId="24CB254E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1,143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A46" w14:textId="3381D2BC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7DF3" w14:textId="04389245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.9%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A1E" w14:textId="0D9166D8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EBE" w14:textId="0EDCA09E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3CE" w14:textId="543E6957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50.2%</w:t>
            </w:r>
          </w:p>
        </w:tc>
      </w:tr>
      <w:tr w:rsidR="004A54EA" w:rsidRPr="0003329A" w14:paraId="73DD1E08" w14:textId="77777777" w:rsidTr="004A54EA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EF4D" w14:textId="77777777" w:rsidR="004A54EA" w:rsidRPr="0003329A" w:rsidRDefault="004A54EA" w:rsidP="00666379">
            <w:pPr>
              <w:tabs>
                <w:tab w:val="left" w:pos="1402"/>
              </w:tabs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768" w14:textId="1E5E6DEE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A34" w14:textId="0D75DED5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576" w14:textId="38134590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1.5%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F08" w14:textId="485E1040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,654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D3F" w14:textId="715D4659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B3B" w14:textId="279E90A4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7.6%</w:t>
            </w:r>
          </w:p>
        </w:tc>
      </w:tr>
    </w:tbl>
    <w:p w14:paraId="32582F16" w14:textId="1F989D89" w:rsidR="004A54EA" w:rsidRDefault="004A54EA" w:rsidP="007453BA">
      <w:pPr>
        <w:wordWrap w:val="0"/>
        <w:autoSpaceDE w:val="0"/>
        <w:autoSpaceDN w:val="0"/>
        <w:spacing w:after="0" w:line="240" w:lineRule="auto"/>
        <w:ind w:firstLine="225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  <w:r w:rsidR="007453BA" w:rsidRPr="006A7B47">
        <w:rPr>
          <w:rFonts w:ascii="맑은 고딕" w:hAnsi="맑은 고딕" w:hint="eastAsia"/>
          <w:b/>
          <w:bCs/>
          <w:sz w:val="20"/>
          <w:szCs w:val="24"/>
          <w:lang w:eastAsia="ko-KR"/>
        </w:rPr>
        <w:t>(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인적 분할을 반영해 </w:t>
      </w:r>
      <w:r w:rsidR="00C46FAF">
        <w:rPr>
          <w:rFonts w:ascii="맑은 고딕" w:hAnsi="맑은 고딕" w:hint="eastAsia"/>
          <w:b/>
          <w:bCs/>
          <w:sz w:val="20"/>
          <w:szCs w:val="24"/>
          <w:lang w:eastAsia="ko-KR"/>
        </w:rPr>
        <w:t>과거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 실적을 재산정했습니다</w:t>
      </w:r>
      <w:r w:rsidR="007453BA" w:rsidRPr="006A7B47">
        <w:rPr>
          <w:rFonts w:ascii="맑은 고딕" w:hAnsi="맑은 고딕"/>
          <w:b/>
          <w:bCs/>
          <w:sz w:val="20"/>
          <w:szCs w:val="24"/>
          <w:lang w:eastAsia="ko-KR"/>
        </w:rPr>
        <w:t>)</w:t>
      </w:r>
    </w:p>
    <w:sectPr w:rsidR="004A54EA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51601" w14:textId="77777777" w:rsidR="007E5841" w:rsidRDefault="007E5841">
      <w:pPr>
        <w:spacing w:after="0" w:line="240" w:lineRule="auto"/>
      </w:pPr>
      <w:r>
        <w:separator/>
      </w:r>
    </w:p>
  </w:endnote>
  <w:endnote w:type="continuationSeparator" w:id="0">
    <w:p w14:paraId="1D944208" w14:textId="77777777" w:rsidR="007E5841" w:rsidRDefault="007E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19E58E88">
          <wp:simplePos x="0" y="0"/>
          <wp:positionH relativeFrom="column">
            <wp:posOffset>3820160</wp:posOffset>
          </wp:positionH>
          <wp:positionV relativeFrom="paragraph">
            <wp:posOffset>-53975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F1303" w14:textId="77777777" w:rsidR="007E5841" w:rsidRDefault="007E5841">
      <w:pPr>
        <w:spacing w:after="0" w:line="240" w:lineRule="auto"/>
      </w:pPr>
      <w:r>
        <w:separator/>
      </w:r>
    </w:p>
  </w:footnote>
  <w:footnote w:type="continuationSeparator" w:id="0">
    <w:p w14:paraId="004E87FB" w14:textId="77777777" w:rsidR="007E5841" w:rsidRDefault="007E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A86"/>
    <w:rsid w:val="0061231F"/>
    <w:rsid w:val="0061311C"/>
    <w:rsid w:val="006135A6"/>
    <w:rsid w:val="00614392"/>
    <w:rsid w:val="006164F4"/>
    <w:rsid w:val="00620098"/>
    <w:rsid w:val="00620228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841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09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2BA0"/>
    <w:rsid w:val="00F13E95"/>
    <w:rsid w:val="00F13F82"/>
    <w:rsid w:val="00F16645"/>
    <w:rsid w:val="00F17A6D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D0E"/>
    <w:rsid w:val="00F52D6F"/>
    <w:rsid w:val="00F5337B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810F-C623-464D-96A0-9C1B34F1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2022-02-07T05:08:00Z</dcterms:created>
  <dcterms:modified xsi:type="dcterms:W3CDTF">2026-01-25T23:29:00Z</dcterms:modified>
  <cp:version>0900.0001.01</cp:version>
</cp:coreProperties>
</file>